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"/>
        <w:jc w:val="center"/>
        <w:rPr>
          <w:rStyle w:val="11"/>
          <w:rFonts w:ascii="黑体" w:hAnsi="黑体" w:eastAsia="黑体"/>
          <w:b/>
          <w:kern w:val="0"/>
          <w:sz w:val="32"/>
          <w:szCs w:val="32"/>
        </w:rPr>
      </w:pPr>
      <w:r>
        <w:rPr>
          <w:rStyle w:val="11"/>
          <w:rFonts w:ascii="黑体" w:hAnsi="黑体" w:eastAsia="黑体"/>
          <w:b/>
          <w:kern w:val="0"/>
          <w:sz w:val="32"/>
          <w:szCs w:val="32"/>
        </w:rPr>
        <w:t>202</w:t>
      </w:r>
      <w:r>
        <w:rPr>
          <w:rStyle w:val="11"/>
          <w:rFonts w:hint="eastAsia" w:ascii="黑体" w:hAnsi="黑体" w:eastAsia="黑体"/>
          <w:b/>
          <w:kern w:val="0"/>
          <w:sz w:val="32"/>
          <w:szCs w:val="32"/>
        </w:rPr>
        <w:t>2</w:t>
      </w:r>
      <w:r>
        <w:rPr>
          <w:rStyle w:val="11"/>
          <w:rFonts w:ascii="黑体" w:hAnsi="黑体" w:eastAsia="黑体"/>
          <w:b/>
          <w:kern w:val="0"/>
          <w:sz w:val="32"/>
          <w:szCs w:val="32"/>
        </w:rPr>
        <w:t>-202</w:t>
      </w:r>
      <w:r>
        <w:rPr>
          <w:rStyle w:val="11"/>
          <w:rFonts w:hint="eastAsia" w:ascii="黑体" w:hAnsi="黑体" w:eastAsia="黑体"/>
          <w:b/>
          <w:kern w:val="0"/>
          <w:sz w:val="32"/>
          <w:szCs w:val="32"/>
        </w:rPr>
        <w:t>3</w:t>
      </w:r>
      <w:r>
        <w:rPr>
          <w:rStyle w:val="11"/>
          <w:rFonts w:ascii="黑体" w:hAnsi="黑体" w:eastAsia="黑体"/>
          <w:b/>
          <w:kern w:val="0"/>
          <w:sz w:val="32"/>
          <w:szCs w:val="32"/>
        </w:rPr>
        <w:t>学年第一学期期中教学检查情况总结</w:t>
      </w:r>
    </w:p>
    <w:p>
      <w:pPr>
        <w:spacing w:line="5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为提高学校教育教学质量，加强教学规范化建设，保障我校合格评估工作顺利开展，学校于10月31日-11月18日（教学周11-13周）在全校范围内开展了期中教学检查工作</w:t>
      </w:r>
      <w:r>
        <w:rPr>
          <w:rStyle w:val="11"/>
          <w:rFonts w:hint="eastAsia" w:ascii="宋体" w:hAnsi="宋体" w:cs="宋体"/>
          <w:color w:val="000000"/>
          <w:sz w:val="24"/>
        </w:rPr>
        <w:t>，本次检查采取了普查、抽查与集中检查，常规与专项检查相结合的方式进行。从检查结果来看，各教学单位教学组织严密，教师教学资料齐全，教师授课效果较好。现将具体检查情况总结如下。</w:t>
      </w:r>
    </w:p>
    <w:p>
      <w:pPr>
        <w:spacing w:line="500" w:lineRule="exact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一、常规检查情况</w:t>
      </w:r>
    </w:p>
    <w:p>
      <w:pPr>
        <w:spacing w:line="500" w:lineRule="exact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（一）授课计划执行及教学组织情况</w:t>
      </w:r>
    </w:p>
    <w:p>
      <w:pPr>
        <w:spacing w:line="500" w:lineRule="exact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1.教学进度检查情况</w:t>
      </w:r>
    </w:p>
    <w:p>
      <w:pPr>
        <w:spacing w:line="5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各教学单位共对882门次课程的教学进度进行了自检，所有课程授课计划齐全，99.89%的课程授课计划符合教学大纲要求，98.87%门次的课程授课进度与授课计划一致,1.13%门次的课程因疫情等原因调整了计划，但均对调整做好了后续安排；</w:t>
      </w:r>
    </w:p>
    <w:p>
      <w:pPr>
        <w:spacing w:line="5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学校共对230门次课程的教学进度进行了抽检，99.56%的课程授课计划齐全，90.39%授课计划符合教学大纲要求，9.61/%授课计划基本符合教学大纲要求，99.13%的课程授课进度与授课计划一致，个别课程由于疫情原因进行了调整，且对调整进行了计划安排。</w:t>
      </w:r>
    </w:p>
    <w:p>
      <w:pPr>
        <w:spacing w:line="500" w:lineRule="exact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2.教学组织情况</w:t>
      </w:r>
    </w:p>
    <w:p>
      <w:pPr>
        <w:spacing w:line="5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截止到第12教学周，各教学单位共对882门次课程的教学组织情况进行了自检，累计完成考勤10476次，课均考勤12次，课内累计测验1502次，课均测验2次，累计答疑3187次，课均答疑4次，累计作业批改次数2931次，课均作业批改3次。</w:t>
      </w:r>
    </w:p>
    <w:p>
      <w:pPr>
        <w:spacing w:line="5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学校共对229门次课程的教学组织情况进行了抽检，各门课程累计完成考勤2437次，课均考勤10.6次，课内累计考核298次，课均考核1.3次，累计答疑910次，课均答疑4次，累计作业批改次数729次，课均作业批改3.2次。</w:t>
      </w:r>
    </w:p>
    <w:p>
      <w:pPr>
        <w:spacing w:line="500" w:lineRule="exact"/>
        <w:ind w:firstLine="480" w:firstLineChars="200"/>
        <w:rPr>
          <w:rStyle w:val="11"/>
          <w:rFonts w:hint="eastAsia" w:ascii="宋体" w:hAnsi="宋体" w:cs="宋体"/>
          <w:color w:val="000000"/>
          <w:sz w:val="24"/>
          <w:lang w:eastAsia="zh-CN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总体来说，我校教师能够严格执行学校教学组织相关制度规定，对课程教学过程管理严格，教学组织严密。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但个别教师在</w:t>
      </w:r>
      <w:r>
        <w:rPr>
          <w:rStyle w:val="11"/>
          <w:rFonts w:hint="eastAsia" w:ascii="宋体" w:hAnsi="宋体" w:cs="宋体"/>
          <w:color w:val="000000"/>
          <w:sz w:val="24"/>
        </w:rPr>
        <w:t>授课计划编制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、教学组织、工作手册撰写规范等</w:t>
      </w:r>
      <w:r>
        <w:rPr>
          <w:rStyle w:val="11"/>
          <w:rFonts w:hint="eastAsia" w:ascii="宋体" w:hAnsi="宋体" w:cs="宋体"/>
          <w:color w:val="000000"/>
          <w:sz w:val="24"/>
        </w:rPr>
        <w:t>方面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仍存在一些问题。</w:t>
      </w:r>
    </w:p>
    <w:p>
      <w:pPr>
        <w:spacing w:line="500" w:lineRule="exact"/>
        <w:ind w:firstLine="480" w:firstLineChars="200"/>
        <w:rPr>
          <w:rStyle w:val="11"/>
          <w:rFonts w:hint="eastAsia" w:ascii="宋体" w:hAnsi="宋体" w:cs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Style w:val="11"/>
          <w:rFonts w:hint="eastAsia" w:ascii="宋体" w:hAnsi="宋体" w:cs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</w:p>
    <w:p>
      <w:pPr>
        <w:ind w:firstLine="482" w:firstLineChars="200"/>
        <w:jc w:val="center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表1-1   授课计划执行及教学组织情况一览表</w:t>
      </w:r>
    </w:p>
    <w:tbl>
      <w:tblPr>
        <w:tblStyle w:val="7"/>
        <w:tblW w:w="10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567"/>
        <w:gridCol w:w="567"/>
        <w:gridCol w:w="567"/>
        <w:gridCol w:w="681"/>
        <w:gridCol w:w="573"/>
        <w:gridCol w:w="526"/>
        <w:gridCol w:w="496"/>
        <w:gridCol w:w="559"/>
        <w:gridCol w:w="567"/>
        <w:gridCol w:w="623"/>
        <w:gridCol w:w="764"/>
        <w:gridCol w:w="449"/>
        <w:gridCol w:w="432"/>
        <w:gridCol w:w="513"/>
        <w:gridCol w:w="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教学单位自检情况</w:t>
            </w:r>
          </w:p>
        </w:tc>
        <w:tc>
          <w:tcPr>
            <w:tcW w:w="3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校级督导检查情况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学院（部）</w:t>
            </w:r>
          </w:p>
        </w:tc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授课计划执行情况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工作手册</w:t>
            </w:r>
          </w:p>
        </w:tc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授课计划执行情况</w:t>
            </w:r>
          </w:p>
        </w:tc>
        <w:tc>
          <w:tcPr>
            <w:tcW w:w="2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工作手册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开课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门次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授课计划数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符合教学大纲要求数量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授课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计划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无调整门次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平均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考勤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次数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平均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考核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次数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平均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答疑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次数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平均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作业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批改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次数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授课计划数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符合教学大纲要求数量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授课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计划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无调整门次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平均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考勤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次数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平均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考核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次数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平均答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疑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次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平均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作业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批改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建筑与规划学院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10.9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5.9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14.8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11.2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0.9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11.6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4.1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交通工程学院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10.2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0.9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17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10.7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市政与环境工程学院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79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79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13.6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4.8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24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14.7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5.6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电气信息工程学院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16.5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2.4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17.8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计算机科学与工程学院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14.4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13.4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管理工程学院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12.8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0/12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14.2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外语学院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76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12.5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12.4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艺术设计学院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12.1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0/9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9.8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8.6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基础科学部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7.7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5.3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91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7.7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5.3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56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7.1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1.9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6.9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数字建造学院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12.5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13.5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0.7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872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11.9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229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207/22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227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10.6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1.3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3.2</w:t>
            </w:r>
          </w:p>
        </w:tc>
      </w:tr>
    </w:tbl>
    <w:p>
      <w:pPr>
        <w:spacing w:line="560" w:lineRule="exact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ascii="宋体" w:hAnsi="宋体" w:cs="宋体"/>
          <w:b/>
          <w:bCs/>
          <w:color w:val="000000"/>
          <w:sz w:val="24"/>
        </w:rPr>
        <w:t>（二）教师听课制度执行情况</w:t>
      </w:r>
    </w:p>
    <w:p>
      <w:pPr>
        <w:spacing w:line="48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各教学单位对全校289位任课教师的同行听课情况进行了自检，教师们随堂听课共1350次，师均听课4.67次，评价优良率为97.85%，来校超过3年的教师师均听课4.70次，来校不满3年的教师师均听课4.55次。</w:t>
      </w:r>
    </w:p>
    <w:p>
      <w:pPr>
        <w:spacing w:line="48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学校对149位教师的同行听课情况进行了抽检，教师们随堂听课共754次，师均听课5.06次，评价优良率为99.73%，其中来校超过3年的教师师均听课5.20次，不满3年的教师平均听课4.65次。</w:t>
      </w:r>
    </w:p>
    <w:p>
      <w:pPr>
        <w:jc w:val="center"/>
        <w:rPr>
          <w:rStyle w:val="11"/>
          <w:rFonts w:ascii="宋体" w:hAnsi="宋体" w:cs="宋体"/>
          <w:b/>
          <w:bCs/>
          <w:color w:val="000000"/>
          <w:sz w:val="24"/>
        </w:rPr>
      </w:pPr>
    </w:p>
    <w:p>
      <w:pPr>
        <w:jc w:val="center"/>
        <w:rPr>
          <w:rStyle w:val="11"/>
          <w:rFonts w:hint="eastAsia" w:ascii="宋体" w:hAnsi="宋体" w:cs="宋体"/>
          <w:b/>
          <w:bCs/>
          <w:color w:val="000000"/>
          <w:sz w:val="24"/>
        </w:rPr>
      </w:pPr>
    </w:p>
    <w:p>
      <w:pPr>
        <w:jc w:val="center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表1-2   教师听课制度执行情况统计表</w:t>
      </w:r>
    </w:p>
    <w:tbl>
      <w:tblPr>
        <w:tblStyle w:val="7"/>
        <w:tblW w:w="876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1"/>
        <w:gridCol w:w="633"/>
        <w:gridCol w:w="524"/>
        <w:gridCol w:w="572"/>
        <w:gridCol w:w="535"/>
        <w:gridCol w:w="662"/>
        <w:gridCol w:w="670"/>
        <w:gridCol w:w="568"/>
        <w:gridCol w:w="552"/>
        <w:gridCol w:w="576"/>
        <w:gridCol w:w="6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7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ind w:hanging="1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学院（部）</w:t>
            </w:r>
          </w:p>
        </w:tc>
        <w:tc>
          <w:tcPr>
            <w:tcW w:w="29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各教学单位自检情况</w:t>
            </w:r>
          </w:p>
        </w:tc>
        <w:tc>
          <w:tcPr>
            <w:tcW w:w="30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校级督导检查情况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27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来校超过3年人数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平均听课次数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来校不满3年人数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平均听课次数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评价优良次数占比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来校超过3年人数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平均听课次数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来校不满3年人数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平均听课次数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评价优良次数占比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建筑与规划学院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97.10%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93.33%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土木工程学院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交通工程学院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市政与环境工程学院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电气信息工程学院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计算机科学与工程学院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管理工程学院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外语学院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艺术设计学院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91.36%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基础科学部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数学建造学院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97.85%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 w:val="18"/>
                <w:szCs w:val="18"/>
              </w:rPr>
              <w:t>99.73%</w:t>
            </w:r>
          </w:p>
        </w:tc>
      </w:tr>
    </w:tbl>
    <w:p>
      <w:pPr>
        <w:spacing w:line="500" w:lineRule="exact"/>
        <w:ind w:firstLine="472" w:firstLineChars="196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ascii="宋体" w:hAnsi="宋体" w:cs="宋体"/>
          <w:b/>
          <w:bCs/>
          <w:color w:val="000000"/>
          <w:sz w:val="24"/>
        </w:rPr>
        <w:t>总体来看，全校教师听课总体情况较好，</w:t>
      </w:r>
      <w:r>
        <w:rPr>
          <w:rStyle w:val="11"/>
          <w:rFonts w:hint="eastAsia" w:ascii="宋体" w:hAnsi="宋体" w:cs="宋体"/>
          <w:color w:val="000000"/>
          <w:sz w:val="24"/>
        </w:rPr>
        <w:t>部分老教师听课次数较多，积极发挥传帮带作用，如王凤国18次，范雪20次，程凤芹24次，刘楠23次，孟凡姿18次，刘丹17次，一些院领导积极走进课堂，特别是主管学生工作的领导，较为关注学生听课情况，如尹建平13次；数字学院年轻教师听课记录评价真实，听课后注意总结教师授课的优点和不足，形成教学反思，实现共同成长。但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也存在着</w:t>
      </w:r>
      <w:r>
        <w:rPr>
          <w:rStyle w:val="11"/>
          <w:rFonts w:hint="eastAsia" w:ascii="宋体" w:hAnsi="宋体" w:cs="宋体"/>
          <w:color w:val="000000"/>
          <w:sz w:val="24"/>
        </w:rPr>
        <w:t>评价过高，评课建议不具体、没有针对性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Style w:val="11"/>
          <w:rFonts w:hint="eastAsia" w:ascii="宋体" w:hAnsi="宋体" w:cs="宋体"/>
          <w:color w:val="000000"/>
          <w:sz w:val="24"/>
        </w:rPr>
        <w:t>部分年轻教师听课次数偏少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等问题。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baseline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二、实践教学环节专项检查情况</w:t>
      </w:r>
    </w:p>
    <w:p>
      <w:pPr>
        <w:spacing w:line="5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截止到教学周第12周，各教学单位对193名教师指导的138门，245门次的实践课程（实习、实训、课程设计、实验）进行了自检，涉及179名自有教师，14名外聘教师，96名双师型教师。其中242门次实践课程教学计划安排合理，占比98.78%，3门次课程安排基本合理，占比1.22%；244门次课程的实践环节资料齐全，占比99.59%；241门次实践课程的指导教师能够认真指导，质量较高，占比98.37%。</w:t>
      </w:r>
    </w:p>
    <w:p>
      <w:pPr>
        <w:spacing w:line="5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学校对80名教师指导的51门，99门次的实践课程进行了抽检，受检课程实践教学计划安排均较为合理，95门次课程的实践环节资料齐全，占比95.96%；95门次课程的教师能够认真指导实践教学，质量较高，占比95.96%（详见表2-1）。</w:t>
      </w:r>
    </w:p>
    <w:p>
      <w:pPr>
        <w:spacing w:line="500" w:lineRule="exact"/>
        <w:ind w:firstLine="480" w:firstLineChars="200"/>
        <w:rPr>
          <w:rStyle w:val="11"/>
          <w:rFonts w:hint="eastAsia"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总体来看，我校各类实践教学环节资料齐全，教学计划安排合理，指导教师认真负责。</w:t>
      </w:r>
    </w:p>
    <w:p>
      <w:pPr>
        <w:spacing w:line="500" w:lineRule="exact"/>
        <w:ind w:firstLine="480" w:firstLineChars="200"/>
        <w:rPr>
          <w:rStyle w:val="11"/>
          <w:rFonts w:hint="eastAsia" w:ascii="宋体" w:hAnsi="宋体" w:cs="宋体"/>
          <w:color w:val="000000"/>
          <w:sz w:val="24"/>
        </w:rPr>
      </w:pPr>
    </w:p>
    <w:p>
      <w:pPr>
        <w:ind w:firstLine="564"/>
        <w:jc w:val="center"/>
        <w:rPr>
          <w:rStyle w:val="11"/>
          <w:rFonts w:ascii="仿宋" w:hAnsi="仿宋" w:eastAsia="仿宋"/>
          <w:color w:val="000000"/>
          <w:sz w:val="24"/>
        </w:rPr>
      </w:pPr>
      <w:r>
        <w:rPr>
          <w:rStyle w:val="11"/>
          <w:rFonts w:ascii="仿宋" w:hAnsi="仿宋" w:eastAsia="仿宋"/>
          <w:b/>
          <w:bCs/>
          <w:color w:val="000000"/>
          <w:sz w:val="24"/>
        </w:rPr>
        <w:t>表</w:t>
      </w:r>
      <w:r>
        <w:rPr>
          <w:rStyle w:val="11"/>
          <w:rFonts w:hint="eastAsia" w:ascii="仿宋" w:hAnsi="仿宋" w:eastAsia="仿宋"/>
          <w:b/>
          <w:bCs/>
          <w:color w:val="000000"/>
          <w:sz w:val="24"/>
        </w:rPr>
        <w:t>2-1</w:t>
      </w:r>
      <w:r>
        <w:rPr>
          <w:rStyle w:val="11"/>
          <w:rFonts w:ascii="仿宋" w:hAnsi="仿宋" w:eastAsia="仿宋"/>
          <w:b/>
          <w:bCs/>
          <w:color w:val="000000"/>
          <w:sz w:val="24"/>
        </w:rPr>
        <w:t xml:space="preserve">  实践环节检查情况一览表</w:t>
      </w:r>
    </w:p>
    <w:tbl>
      <w:tblPr>
        <w:tblStyle w:val="7"/>
        <w:tblW w:w="101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416"/>
        <w:gridCol w:w="446"/>
        <w:gridCol w:w="470"/>
        <w:gridCol w:w="430"/>
        <w:gridCol w:w="690"/>
        <w:gridCol w:w="810"/>
        <w:gridCol w:w="790"/>
        <w:gridCol w:w="770"/>
        <w:gridCol w:w="470"/>
        <w:gridCol w:w="440"/>
        <w:gridCol w:w="810"/>
        <w:gridCol w:w="840"/>
        <w:gridCol w:w="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color w:val="000000"/>
                <w:szCs w:val="21"/>
              </w:rPr>
            </w:pPr>
            <w:r>
              <w:rPr>
                <w:rStyle w:val="11"/>
                <w:rFonts w:ascii="黑体" w:hAnsi="宋体" w:eastAsia="黑体"/>
                <w:color w:val="000000"/>
                <w:kern w:val="0"/>
                <w:szCs w:val="21"/>
              </w:rPr>
              <w:t>学院（部）</w:t>
            </w:r>
          </w:p>
        </w:tc>
        <w:tc>
          <w:tcPr>
            <w:tcW w:w="48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ascii="黑体" w:hAnsi="黑体" w:eastAsia="黑体" w:cs="黑体"/>
                <w:b/>
                <w:bCs/>
                <w:color w:val="000000"/>
                <w:szCs w:val="21"/>
              </w:rPr>
              <w:t>各教学单位自检情况</w:t>
            </w:r>
          </w:p>
        </w:tc>
        <w:tc>
          <w:tcPr>
            <w:tcW w:w="3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ascii="黑体" w:hAnsi="黑体" w:eastAsia="黑体" w:cs="黑体"/>
                <w:b/>
                <w:bCs/>
                <w:color w:val="000000"/>
                <w:szCs w:val="21"/>
              </w:rPr>
              <w:t>学校抽检情况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11"/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课程门数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教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师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自有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教师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外聘教师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双师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占比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计划（任务书）安排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合理占比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资料齐全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（门次）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占比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认真履职次数占比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课程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门数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教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师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计划（任务书）安排合理占比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资料齐全（门次）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占比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  <w:t>认真履职次数占比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建筑与规划学院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57.89%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土木工程学院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65.38%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96.77%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88.89%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交通工程学院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47.06%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市政与环境工程学院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50.00%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电气信息工程学院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48.15%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94.00%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82.35%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计算机科学与工程学院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71.43%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管理工程学院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62.50%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艺术设计学院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32.14%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86.21%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85.71%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基础科学部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数字学院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12.50%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总计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49.74%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98.78%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99.59%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98.37%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ottom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95.96%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95.96%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baseline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总体来看，我校各类实践教学环节资料齐全，教学计划安排合理，指导教师认真负责。但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个别课程在组织管理方面、资料归档方面、内容规范方面、成绩评定方面</w:t>
      </w:r>
      <w:r>
        <w:rPr>
          <w:rStyle w:val="11"/>
          <w:rFonts w:hint="eastAsia" w:ascii="宋体" w:hAnsi="宋体" w:cs="宋体"/>
          <w:color w:val="000000"/>
          <w:sz w:val="24"/>
        </w:rPr>
        <w:t>也存在一定问题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bCs/>
          <w:color w:val="000000"/>
          <w:sz w:val="28"/>
          <w:szCs w:val="28"/>
        </w:rPr>
        <w:t>三</w:t>
      </w:r>
      <w: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  <w:t>、</w:t>
      </w:r>
      <w:r>
        <w:rPr>
          <w:rStyle w:val="11"/>
          <w:rFonts w:hint="eastAsia" w:ascii="仿宋" w:hAnsi="仿宋" w:eastAsia="仿宋"/>
          <w:b/>
          <w:bCs/>
          <w:color w:val="000000"/>
          <w:sz w:val="28"/>
          <w:szCs w:val="28"/>
        </w:rPr>
        <w:t>同步异地课堂</w:t>
      </w:r>
      <w: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  <w:t>教学情况</w:t>
      </w:r>
    </w:p>
    <w:p>
      <w:pPr>
        <w:spacing w:line="400" w:lineRule="exact"/>
        <w:ind w:firstLine="420" w:firstLineChars="200"/>
        <w:rPr>
          <w:rStyle w:val="11"/>
          <w:rFonts w:ascii="宋体" w:hAnsi="宋体" w:cs="宋体"/>
          <w:color w:val="000000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1313815</wp:posOffset>
            </wp:positionV>
            <wp:extent cx="2787650" cy="2263140"/>
            <wp:effectExtent l="19050" t="0" r="12700" b="3810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1313815</wp:posOffset>
            </wp:positionV>
            <wp:extent cx="2832735" cy="2242185"/>
            <wp:effectExtent l="19050" t="0" r="24765" b="5715"/>
            <wp:wrapTopAndBottom/>
            <wp:docPr id="1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Style w:val="11"/>
          <w:rFonts w:hint="eastAsia" w:ascii="宋体" w:hAnsi="宋体" w:cs="宋体"/>
          <w:color w:val="000000"/>
          <w:sz w:val="24"/>
        </w:rPr>
        <w:t>校院两级督导对340门课程，587个课堂的同步异地教学质量进行了检查，其中，82.79%的课堂直播效果较好，17.21%的课堂直播效果一般，其中网络信号不稳定是影响直播效果的主要原因；96.92%的课堂线上、线下教学过渡衔接较好；58.77%的课堂教学效果评价为优秀，40.55%的课堂教学效果评价为良好，0.68%的老师因线上、线下课程过渡衔接不好、课堂内容不饱满等原因教学效果被评价为中等。</w:t>
      </w:r>
    </w:p>
    <w:p>
      <w:pPr>
        <w:rPr>
          <w:rStyle w:val="11"/>
          <w:rFonts w:ascii="仿宋" w:hAnsi="仿宋" w:eastAsia="仿宋"/>
          <w:color w:val="000000"/>
          <w:sz w:val="24"/>
        </w:rPr>
      </w:pPr>
      <w:r>
        <w:drawing>
          <wp:inline distT="0" distB="0" distL="114300" distR="114300">
            <wp:extent cx="5594350" cy="2357120"/>
            <wp:effectExtent l="5080" t="4445" r="20320" b="19685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图3-1 同步异地课堂教学质量评价</w:t>
      </w:r>
    </w:p>
    <w:p>
      <w:pP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Style w:val="11"/>
          <w:rFonts w:hint="eastAsia" w:ascii="仿宋" w:hAnsi="仿宋" w:eastAsia="仿宋"/>
          <w:b/>
          <w:bCs/>
          <w:color w:val="000000"/>
          <w:sz w:val="28"/>
          <w:szCs w:val="28"/>
        </w:rPr>
        <w:t>四、持续改进情况</w:t>
      </w:r>
    </w:p>
    <w:p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（一）教案复查情况</w:t>
      </w:r>
    </w:p>
    <w:p>
      <w:pPr>
        <w:spacing w:line="4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各教学单位对352位教师承担的452门、654门次课程的教案编写情况进行了专项复查，80.89%的教案要素完整，18.81%的教案要素基本完整，0.31%的教案要素不完整；</w:t>
      </w:r>
      <w:r>
        <w:rPr>
          <w:rStyle w:val="11"/>
          <w:rFonts w:hint="eastAsia" w:ascii="宋体" w:hAnsi="宋体" w:cs="宋体"/>
          <w:color w:val="000000"/>
          <w:sz w:val="24"/>
        </w:rPr>
        <w:t>91.59%的教案教学后记真实、有效，4.13%的教学后记流于形式，1.38%的教学后记真实、但实效性一般,2.91%的教案没有教学后记。</w:t>
      </w:r>
    </w:p>
    <w:p>
      <w:pPr>
        <w:spacing w:line="4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学校</w:t>
      </w:r>
      <w:r>
        <w:rPr>
          <w:rFonts w:hint="eastAsia" w:ascii="宋体" w:hAnsi="宋体" w:cs="宋体"/>
          <w:color w:val="000000"/>
          <w:kern w:val="0"/>
          <w:sz w:val="24"/>
        </w:rPr>
        <w:t>对178位教师承担的194门、220门次课程的教案进行了抽查，其中75.45%的教案要素完整，25.45%的教案要素基本完整；</w:t>
      </w:r>
      <w:r>
        <w:rPr>
          <w:rStyle w:val="11"/>
          <w:rFonts w:hint="eastAsia" w:ascii="宋体" w:hAnsi="宋体" w:cs="宋体"/>
          <w:color w:val="000000"/>
          <w:sz w:val="24"/>
        </w:rPr>
        <w:t>91.36%的教案教学后记真实、有效，0.91%的教学后记流于形式，4.55%的教学后记真实、但实效性一般,3.18%的教案没有教学后记，具体情况见表4-1、表4-2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right="105" w:rightChars="50" w:firstLine="482" w:firstLineChars="200"/>
        <w:jc w:val="center"/>
        <w:textAlignment w:val="baseline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表4-1 教案检查汇总表</w:t>
      </w:r>
    </w:p>
    <w:tbl>
      <w:tblPr>
        <w:tblStyle w:val="8"/>
        <w:tblW w:w="0" w:type="auto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470"/>
        <w:gridCol w:w="221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Cs w:val="21"/>
              </w:rPr>
              <w:t>项      目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Cs w:val="21"/>
              </w:rPr>
              <w:t>各教学单位自检结果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rPr>
                <w:rStyle w:val="11"/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Cs w:val="21"/>
              </w:rPr>
              <w:t>学校抽检结果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教师数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352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教案数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654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教案编写要素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教案编写要素编写完整占比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80.89%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教案编写要素基本完整占比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18.81%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教案编写要素不完整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0.31%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0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教学后记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教学后记真实有效占比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91.59%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教学后记真实，但实效性一般占比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1.38%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有教学后记，但流于形式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4.13%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无教学后记</w:t>
            </w:r>
          </w:p>
        </w:tc>
        <w:tc>
          <w:tcPr>
            <w:tcW w:w="22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2.91%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3.18%</w:t>
            </w:r>
          </w:p>
        </w:tc>
      </w:tr>
    </w:tbl>
    <w:p>
      <w:pPr>
        <w:spacing w:line="4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</w:p>
    <w:p>
      <w:pPr>
        <w:spacing w:afterLines="50"/>
        <w:jc w:val="center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表4-2 教案检查详表</w:t>
      </w:r>
    </w:p>
    <w:tbl>
      <w:tblPr>
        <w:tblStyle w:val="7"/>
        <w:tblW w:w="80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455"/>
        <w:gridCol w:w="401"/>
        <w:gridCol w:w="429"/>
        <w:gridCol w:w="780"/>
        <w:gridCol w:w="781"/>
        <w:gridCol w:w="441"/>
        <w:gridCol w:w="372"/>
        <w:gridCol w:w="437"/>
        <w:gridCol w:w="780"/>
        <w:gridCol w:w="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4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学院（部）</w:t>
            </w:r>
          </w:p>
        </w:tc>
        <w:tc>
          <w:tcPr>
            <w:tcW w:w="28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各教学单位自检情况</w:t>
            </w:r>
          </w:p>
        </w:tc>
        <w:tc>
          <w:tcPr>
            <w:tcW w:w="28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校级督导检查情况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24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课程门数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课程门次数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教师人数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教案要素完整占比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教学后记真实、有效占比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课程门数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课程门次数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教师人数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教案要素完整占比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教学后记真实、有效占比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建筑与规划学院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33.33%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83.33%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土木工程学院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57.14%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94.29%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交通工程学院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18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18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市政与环境工程学院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58.97%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89.74%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35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36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13.89%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94.44%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电气信息工程学院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56.36%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55.56%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计算机科学与工程学院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86.36%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47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66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86.36%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管理工程学院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93.55%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97.85%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外语学院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艺术设计学院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76.47%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80.88%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基础科学部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63.83%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59.57%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84.62%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61.54%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马克思主义学院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数学建造学院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总计</w:t>
            </w:r>
          </w:p>
        </w:tc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654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80.89%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91.59%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194</w:t>
            </w:r>
          </w:p>
        </w:tc>
        <w:tc>
          <w:tcPr>
            <w:tcW w:w="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220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178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75.45%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91.36%</w:t>
            </w:r>
          </w:p>
        </w:tc>
      </w:tr>
    </w:tbl>
    <w:p>
      <w:pPr>
        <w:spacing w:line="400" w:lineRule="exact"/>
        <w:jc w:val="left"/>
        <w:rPr>
          <w:rStyle w:val="11"/>
          <w:rFonts w:ascii="宋体" w:hAnsi="宋体" w:cs="宋体"/>
          <w:b/>
          <w:bCs/>
          <w:color w:val="000000"/>
          <w:sz w:val="24"/>
        </w:rPr>
      </w:pPr>
    </w:p>
    <w:p>
      <w:pPr>
        <w:spacing w:line="400" w:lineRule="exact"/>
        <w:ind w:firstLine="480"/>
        <w:jc w:val="left"/>
        <w:rPr>
          <w:rStyle w:val="11"/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总体来说，学校教案撰写整体情况较好，其中，</w:t>
      </w:r>
      <w:r>
        <w:rPr>
          <w:rStyle w:val="11"/>
          <w:rFonts w:hint="eastAsia" w:ascii="宋体" w:hAnsi="宋体" w:cs="宋体"/>
          <w:color w:val="000000"/>
          <w:sz w:val="24"/>
        </w:rPr>
        <w:t>数字学院的教师对每次课都认真反思，教学后记内容真实，且有助于教学；土木学院陈晓辉老师的实验教案编写非常规范，有目录设计、实验教学过程清晰、完整，值得推广；土木学院李令令老师的《工程力学》教案，课程思政内容丰富、且融入自然；计算机学院的常颖老师的《操作系统B》，手写教案、十分工整、时间分配细化到分钟、目标明确、重点突出、教学后记真实有效；刘书红老师的《数据结构》，内容丰富，条理清晰，重点明确，教学后记真实有效。但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部分教案也存在着教案编写要素不完整、教学后记形式化、字体字号前后不一致、教案是教材的复刻或过于简单等</w:t>
      </w:r>
      <w:r>
        <w:rPr>
          <w:rStyle w:val="11"/>
          <w:rFonts w:hint="eastAsia" w:ascii="宋体" w:hAnsi="宋体" w:cs="宋体"/>
          <w:color w:val="000000"/>
          <w:sz w:val="24"/>
        </w:rPr>
        <w:t>问题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baseline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毕业设计（论文）持续改进情况</w:t>
      </w:r>
    </w:p>
    <w:p>
      <w:pPr>
        <w:spacing w:line="400" w:lineRule="exact"/>
        <w:ind w:firstLine="480" w:firstLineChars="200"/>
        <w:jc w:val="left"/>
        <w:rPr>
          <w:rStyle w:val="11"/>
          <w:rFonts w:hint="eastAsia"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各教学单位对2022届毕业生的2587份毕业设计（论文）进行了复查，其中504份存在一定问题，111份已完成整改，占比22.02%，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个别</w:t>
      </w:r>
      <w:r>
        <w:rPr>
          <w:rStyle w:val="11"/>
          <w:rFonts w:hint="eastAsia" w:ascii="宋体" w:hAnsi="宋体" w:cs="宋体"/>
          <w:color w:val="000000"/>
          <w:sz w:val="24"/>
        </w:rPr>
        <w:t>学院答辩记录整体存在有问无答的现象，暂无整改；</w:t>
      </w:r>
    </w:p>
    <w:p>
      <w:pPr>
        <w:spacing w:line="400" w:lineRule="exact"/>
        <w:ind w:firstLine="480" w:firstLineChars="200"/>
        <w:jc w:val="left"/>
        <w:rPr>
          <w:rStyle w:val="11"/>
          <w:rFonts w:hint="eastAsia"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学校复查417份毕业设计（论文），其中48份存在问题，27份已完成整改，占比56.25%，3份平时成绩给定为满分，不尽合理，但无法整改（占比6.25%），4份整改不彻底（占比8.33%），14份未整改（占比29.17%）。</w:t>
      </w:r>
    </w:p>
    <w:p>
      <w:pPr>
        <w:spacing w:line="400" w:lineRule="exact"/>
        <w:ind w:firstLine="480" w:firstLineChars="200"/>
        <w:jc w:val="left"/>
        <w:rPr>
          <w:rStyle w:val="11"/>
          <w:rFonts w:hint="eastAsia" w:ascii="宋体" w:hAnsi="宋体" w:cs="宋体"/>
          <w:color w:val="000000"/>
          <w:sz w:val="24"/>
        </w:rPr>
      </w:pPr>
    </w:p>
    <w:p>
      <w:pPr>
        <w:spacing w:line="400" w:lineRule="exact"/>
        <w:ind w:firstLine="480" w:firstLineChars="200"/>
        <w:jc w:val="left"/>
        <w:rPr>
          <w:rStyle w:val="11"/>
          <w:rFonts w:hint="eastAsia" w:ascii="宋体" w:hAnsi="宋体" w:cs="宋体"/>
          <w:color w:val="000000"/>
          <w:sz w:val="24"/>
        </w:rPr>
      </w:pPr>
    </w:p>
    <w:p>
      <w:pPr>
        <w:spacing w:afterLines="50"/>
        <w:jc w:val="center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表4-3 毕业设计（论文）复查情况统计表</w:t>
      </w:r>
    </w:p>
    <w:tbl>
      <w:tblPr>
        <w:tblStyle w:val="7"/>
        <w:tblW w:w="79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436"/>
        <w:gridCol w:w="490"/>
        <w:gridCol w:w="494"/>
        <w:gridCol w:w="751"/>
        <w:gridCol w:w="523"/>
        <w:gridCol w:w="523"/>
        <w:gridCol w:w="751"/>
        <w:gridCol w:w="585"/>
        <w:gridCol w:w="598"/>
        <w:gridCol w:w="7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9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11"/>
                <w:rFonts w:ascii="黑体" w:hAnsi="宋体" w:eastAsia="黑体"/>
                <w:color w:val="000000"/>
                <w:kern w:val="0"/>
                <w:szCs w:val="21"/>
              </w:rPr>
              <w:t>学院（部）</w:t>
            </w:r>
          </w:p>
        </w:tc>
        <w:tc>
          <w:tcPr>
            <w:tcW w:w="21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textAlignment w:val="center"/>
              <w:rPr>
                <w:rStyle w:val="11"/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Style w:val="11"/>
                <w:rFonts w:ascii="黑体" w:hAnsi="宋体" w:eastAsia="黑体"/>
                <w:color w:val="000000"/>
                <w:kern w:val="0"/>
                <w:szCs w:val="21"/>
              </w:rPr>
              <w:t>各教学单位自检情况</w:t>
            </w:r>
          </w:p>
        </w:tc>
        <w:tc>
          <w:tcPr>
            <w:tcW w:w="377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textAlignment w:val="center"/>
              <w:rPr>
                <w:rStyle w:val="11"/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Style w:val="11"/>
                <w:rFonts w:ascii="黑体" w:hAnsi="宋体" w:eastAsia="黑体"/>
                <w:color w:val="000000"/>
                <w:kern w:val="0"/>
                <w:szCs w:val="21"/>
              </w:rPr>
              <w:t>校级督导检查情况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复查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份数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自查问题份数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已整改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份数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整改占比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抽查问题份数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已整改</w:t>
            </w:r>
          </w:p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份数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整改占比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部分整改份数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未整改份数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黑体" w:hAnsi="黑体" w:eastAsia="黑体"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黑体" w:hAnsi="黑体" w:eastAsia="黑体"/>
                <w:color w:val="000000"/>
                <w:sz w:val="15"/>
                <w:szCs w:val="15"/>
              </w:rPr>
              <w:t>无法整改份数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建筑与规划学院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154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土木工程学院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642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393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38.46%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交通工程学院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174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28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28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市政与环境工程学院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90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25.00%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电气信息工程学院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259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计算机科学与工程学院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308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管理工程学院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525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外语学院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63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艺术设计学院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220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数学建造学院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152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总计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2587</w:t>
            </w:r>
          </w:p>
        </w:tc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22.02%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56.25%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</w:tbl>
    <w:p>
      <w:pPr>
        <w:spacing w:line="360" w:lineRule="auto"/>
        <w:ind w:firstLine="480" w:firstLineChars="200"/>
        <w:rPr>
          <w:rStyle w:val="11"/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Style w:val="11"/>
          <w:rFonts w:hint="eastAsia" w:ascii="宋体" w:hAnsi="宋体" w:cs="宋体"/>
          <w:color w:val="000000"/>
          <w:sz w:val="24"/>
          <w:lang w:eastAsia="zh-CN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从检查情况来看，目前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部分</w:t>
      </w:r>
      <w:r>
        <w:rPr>
          <w:rStyle w:val="11"/>
          <w:rFonts w:hint="eastAsia" w:ascii="宋体" w:hAnsi="宋体" w:cs="宋体"/>
          <w:color w:val="000000"/>
          <w:sz w:val="24"/>
        </w:rPr>
        <w:t>毕业设计（论文）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在成果规范性、成绩评定、材料归档等方面还存在一定的</w:t>
      </w:r>
      <w:r>
        <w:rPr>
          <w:rStyle w:val="11"/>
          <w:rFonts w:hint="eastAsia" w:ascii="宋体" w:hAnsi="宋体" w:cs="宋体"/>
          <w:color w:val="000000"/>
          <w:sz w:val="24"/>
        </w:rPr>
        <w:t>问题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baseline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试卷答案专项检查情况</w:t>
      </w:r>
    </w:p>
    <w:p>
      <w:pPr>
        <w:spacing w:line="360" w:lineRule="auto"/>
        <w:ind w:firstLine="480" w:firstLineChars="200"/>
        <w:rPr>
          <w:rStyle w:val="11"/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各教学单位对上学期线上考试试卷答案进行了专项检查，共检查试卷答案163份，校级督导抽查试卷答案92份，检查结果显示，所有试卷答案齐全，主观题答案完整，但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在主观题评分标准、答案格式规范、答案准确性等方面仍</w:t>
      </w:r>
      <w:r>
        <w:rPr>
          <w:rStyle w:val="11"/>
          <w:rFonts w:hint="eastAsia" w:ascii="宋体" w:hAnsi="宋体" w:cs="宋体"/>
          <w:color w:val="000000"/>
          <w:sz w:val="24"/>
        </w:rPr>
        <w:t>存在一定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的</w:t>
      </w:r>
      <w:r>
        <w:rPr>
          <w:rStyle w:val="11"/>
          <w:rFonts w:hint="eastAsia" w:ascii="宋体" w:hAnsi="宋体" w:cs="宋体"/>
          <w:color w:val="000000"/>
          <w:sz w:val="24"/>
        </w:rPr>
        <w:t>问题</w:t>
      </w:r>
      <w:r>
        <w:rPr>
          <w:rStyle w:val="11"/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spacing w:afterLines="50"/>
        <w:jc w:val="center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表4-4 2021-2022学年第二学期试卷答案检查情况统计表</w:t>
      </w:r>
    </w:p>
    <w:tbl>
      <w:tblPr>
        <w:tblStyle w:val="7"/>
        <w:tblW w:w="86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594"/>
        <w:gridCol w:w="933"/>
        <w:gridCol w:w="751"/>
        <w:gridCol w:w="809"/>
        <w:gridCol w:w="536"/>
        <w:gridCol w:w="790"/>
        <w:gridCol w:w="95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3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学院（部）</w:t>
            </w:r>
          </w:p>
        </w:tc>
        <w:tc>
          <w:tcPr>
            <w:tcW w:w="3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各教学单位自检情况</w:t>
            </w:r>
          </w:p>
        </w:tc>
        <w:tc>
          <w:tcPr>
            <w:tcW w:w="32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校级督导检查情况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考试科目数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有试卷答案占比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有主观题答案占比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主观题有详细评分标准占比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考试科目数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有试卷答案占比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有主观题答案占比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主观题有详细评分标准占比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建筑与规划学院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土木工程学院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73.08%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83.33%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交通工程学院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市政与环境工程学院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电气信息工程学院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计算机科学与工程学院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管理工程学院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外语学院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艺术设计学院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基础科学部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马克思主义学院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数学建造学院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总计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95.71%</w:t>
            </w:r>
          </w:p>
        </w:tc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top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93.48%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baseline"/>
        <w:rPr>
          <w:rStyle w:val="11"/>
          <w:rFonts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11"/>
          <w:rFonts w:hint="eastAsia" w:ascii="宋体" w:hAnsi="宋体" w:cs="宋体"/>
          <w:b/>
          <w:bCs/>
          <w:color w:val="000000"/>
          <w:sz w:val="28"/>
          <w:szCs w:val="28"/>
        </w:rPr>
        <w:t>五、学生评教情况</w:t>
      </w:r>
    </w:p>
    <w:p>
      <w:pPr>
        <w:spacing w:line="400" w:lineRule="exact"/>
        <w:ind w:firstLine="480" w:firstLineChars="200"/>
        <w:rPr>
          <w:rStyle w:val="11"/>
          <w:rFonts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根据《吉林建筑科技学院学生评教工作实施办法》及《关于开展2022-2023-1学期期中教学检查的通知》文件要求，学校以期中教学检查为契机，开展了本学期的学生评教工作，本次评教工作得到了各教学单位的大力支持和配合，学生参与度和评价结果的可信度均有所提升。现将本次学生网上评教结果汇总分析如下：</w:t>
      </w:r>
    </w:p>
    <w:p>
      <w:pPr>
        <w:spacing w:line="400" w:lineRule="exact"/>
        <w:ind w:firstLine="480" w:firstLineChars="200"/>
        <w:rPr>
          <w:rStyle w:val="11"/>
          <w:rFonts w:hint="eastAsia" w:ascii="宋体" w:hAnsi="宋体" w:cs="宋体"/>
          <w:color w:val="000000"/>
          <w:sz w:val="24"/>
        </w:rPr>
      </w:pPr>
      <w:r>
        <w:rPr>
          <w:rStyle w:val="11"/>
          <w:rFonts w:hint="eastAsia" w:ascii="宋体" w:hAnsi="宋体" w:cs="宋体"/>
          <w:color w:val="000000"/>
          <w:sz w:val="24"/>
        </w:rPr>
        <w:t>本次评教的对象为教学周1-12周正常开出的所有理论和实践课程。88174人次学生参与评教，453名教师受评，平均得分98.72分，866门、1748门次课程接受评价，94.74%的课程教学被评为优秀，0.86%的课程被评为良好，0.06%的课程被评为中等,4.35%的课程未被评价。</w:t>
      </w:r>
    </w:p>
    <w:p>
      <w:pPr>
        <w:spacing w:line="400" w:lineRule="exact"/>
        <w:ind w:firstLine="482" w:firstLineChars="200"/>
        <w:jc w:val="center"/>
        <w:rPr>
          <w:rStyle w:val="11"/>
          <w:rFonts w:hint="eastAsia" w:ascii="宋体" w:hAnsi="宋体" w:cs="宋体"/>
          <w:b/>
          <w:bCs/>
          <w:color w:val="000000"/>
          <w:sz w:val="24"/>
        </w:rPr>
      </w:pPr>
    </w:p>
    <w:p>
      <w:pPr>
        <w:spacing w:line="400" w:lineRule="exact"/>
        <w:ind w:firstLine="482" w:firstLineChars="200"/>
        <w:jc w:val="center"/>
        <w:rPr>
          <w:rStyle w:val="11"/>
          <w:rFonts w:ascii="宋体" w:hAnsi="宋体" w:cs="宋体"/>
          <w:b/>
          <w:bCs/>
          <w:color w:val="000000"/>
          <w:sz w:val="24"/>
        </w:rPr>
      </w:pPr>
      <w:r>
        <w:rPr>
          <w:rStyle w:val="11"/>
          <w:rFonts w:hint="eastAsia" w:ascii="宋体" w:hAnsi="宋体" w:cs="宋体"/>
          <w:b/>
          <w:bCs/>
          <w:color w:val="000000"/>
          <w:sz w:val="24"/>
        </w:rPr>
        <w:t>表5-1 各教学单位学生评教结果分析</w:t>
      </w:r>
    </w:p>
    <w:tbl>
      <w:tblPr>
        <w:tblStyle w:val="7"/>
        <w:tblW w:w="9923" w:type="dxa"/>
        <w:tblInd w:w="-9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943"/>
        <w:gridCol w:w="966"/>
        <w:gridCol w:w="977"/>
        <w:gridCol w:w="870"/>
        <w:gridCol w:w="1013"/>
        <w:gridCol w:w="1013"/>
        <w:gridCol w:w="1013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教学单位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教师数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参评人次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课程门数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总评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门次数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优秀门次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占比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良好门次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占比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中等门次</w:t>
            </w:r>
          </w:p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占比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未评价门次占比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建筑与规划学院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3457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59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7248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3028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市政与环境工程学院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3144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电气信息工程学院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3883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计算机科学与工程学院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7329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6955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3961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109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7876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基础科学部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12092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19039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数学建造学院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1971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双创学院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8191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88174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1"/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76</w:t>
            </w:r>
          </w:p>
        </w:tc>
      </w:tr>
    </w:tbl>
    <w:p>
      <w:pPr>
        <w:jc w:val="right"/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Style w:val="11"/>
          <w:rFonts w:ascii="仿宋" w:hAnsi="仿宋" w:eastAsia="仿宋"/>
          <w:color w:val="000000"/>
          <w:szCs w:val="21"/>
        </w:rPr>
        <w:t>注：数据是按照教师所在学院统计</w:t>
      </w:r>
    </w:p>
    <w:p>
      <w:pPr>
        <w:jc w:val="both"/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</w:pPr>
    </w:p>
    <w:p>
      <w:pPr>
        <w:jc w:val="right"/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  <w:t xml:space="preserve">质量监控与评价办公室 </w:t>
      </w:r>
    </w:p>
    <w:p>
      <w:pPr>
        <w:jc w:val="right"/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  <w:t>202</w:t>
      </w:r>
      <w:r>
        <w:rPr>
          <w:rStyle w:val="11"/>
          <w:rFonts w:hint="eastAsia" w:ascii="仿宋" w:hAnsi="仿宋" w:eastAsia="仿宋"/>
          <w:b/>
          <w:bCs/>
          <w:color w:val="000000"/>
          <w:sz w:val="28"/>
          <w:szCs w:val="28"/>
        </w:rPr>
        <w:t>2</w:t>
      </w:r>
      <w: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  <w:t>年</w:t>
      </w:r>
      <w:r>
        <w:rPr>
          <w:rStyle w:val="11"/>
          <w:rFonts w:hint="eastAsia" w:ascii="仿宋" w:hAnsi="仿宋" w:eastAsia="仿宋"/>
          <w:b/>
          <w:bCs/>
          <w:color w:val="000000"/>
          <w:sz w:val="28"/>
          <w:szCs w:val="28"/>
        </w:rPr>
        <w:t>11</w:t>
      </w:r>
      <w: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  <w:t>月</w:t>
      </w:r>
      <w:r>
        <w:rPr>
          <w:rStyle w:val="11"/>
          <w:rFonts w:hint="eastAsia" w:ascii="仿宋" w:hAnsi="仿宋" w:eastAsia="仿宋"/>
          <w:b/>
          <w:bCs/>
          <w:color w:val="000000"/>
          <w:sz w:val="28"/>
          <w:szCs w:val="28"/>
        </w:rPr>
        <w:t>28</w:t>
      </w:r>
      <w:r>
        <w:rPr>
          <w:rStyle w:val="11"/>
          <w:rFonts w:ascii="仿宋" w:hAnsi="仿宋" w:eastAsia="仿宋"/>
          <w:b/>
          <w:bCs/>
          <w:color w:val="000000"/>
          <w:sz w:val="28"/>
          <w:szCs w:val="28"/>
        </w:rPr>
        <w:t>日</w:t>
      </w:r>
    </w:p>
    <w:sectPr>
      <w:pgSz w:w="11906" w:h="16838"/>
      <w:pgMar w:top="1474" w:right="1416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4338F"/>
    <w:multiLevelType w:val="singleLevel"/>
    <w:tmpl w:val="C16433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BDB7C4"/>
    <w:multiLevelType w:val="singleLevel"/>
    <w:tmpl w:val="61BDB7C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YwMzAwZDBiNWEyMzA3YjViMzY1MDAwMDYzNmQifQ=="/>
  </w:docVars>
  <w:rsids>
    <w:rsidRoot w:val="00D14BC4"/>
    <w:rsid w:val="00054AAA"/>
    <w:rsid w:val="00086C86"/>
    <w:rsid w:val="000C05A9"/>
    <w:rsid w:val="001044D9"/>
    <w:rsid w:val="001260A9"/>
    <w:rsid w:val="001F0084"/>
    <w:rsid w:val="00216E62"/>
    <w:rsid w:val="002438F1"/>
    <w:rsid w:val="00283FCC"/>
    <w:rsid w:val="0033088C"/>
    <w:rsid w:val="003958E2"/>
    <w:rsid w:val="003B1DFE"/>
    <w:rsid w:val="003B41B5"/>
    <w:rsid w:val="003F5E7A"/>
    <w:rsid w:val="004F4094"/>
    <w:rsid w:val="0055715E"/>
    <w:rsid w:val="00561BCC"/>
    <w:rsid w:val="005E71AF"/>
    <w:rsid w:val="006A420E"/>
    <w:rsid w:val="006E0B32"/>
    <w:rsid w:val="00717DF4"/>
    <w:rsid w:val="0072643A"/>
    <w:rsid w:val="00741B36"/>
    <w:rsid w:val="00755279"/>
    <w:rsid w:val="007640FC"/>
    <w:rsid w:val="007874BC"/>
    <w:rsid w:val="007B2835"/>
    <w:rsid w:val="007C2972"/>
    <w:rsid w:val="007F0F73"/>
    <w:rsid w:val="00815CB6"/>
    <w:rsid w:val="00825910"/>
    <w:rsid w:val="00834BFA"/>
    <w:rsid w:val="008C3FFA"/>
    <w:rsid w:val="008E6FE1"/>
    <w:rsid w:val="008F133E"/>
    <w:rsid w:val="00990670"/>
    <w:rsid w:val="009B1E05"/>
    <w:rsid w:val="009B24B9"/>
    <w:rsid w:val="009D5197"/>
    <w:rsid w:val="009F5E40"/>
    <w:rsid w:val="00A11A78"/>
    <w:rsid w:val="00A20BC1"/>
    <w:rsid w:val="00A63672"/>
    <w:rsid w:val="00AA7E63"/>
    <w:rsid w:val="00AB14A1"/>
    <w:rsid w:val="00B620AF"/>
    <w:rsid w:val="00B725DA"/>
    <w:rsid w:val="00B74064"/>
    <w:rsid w:val="00C7294F"/>
    <w:rsid w:val="00D14BC4"/>
    <w:rsid w:val="00D66AF0"/>
    <w:rsid w:val="00D92DAC"/>
    <w:rsid w:val="00DB6493"/>
    <w:rsid w:val="00E57B2A"/>
    <w:rsid w:val="00EF47E6"/>
    <w:rsid w:val="00F129D5"/>
    <w:rsid w:val="00FF036D"/>
    <w:rsid w:val="014E1610"/>
    <w:rsid w:val="01804694"/>
    <w:rsid w:val="01A52705"/>
    <w:rsid w:val="020654E4"/>
    <w:rsid w:val="023C6129"/>
    <w:rsid w:val="0259765B"/>
    <w:rsid w:val="025A2CBA"/>
    <w:rsid w:val="02675D4C"/>
    <w:rsid w:val="0275034A"/>
    <w:rsid w:val="02A7502B"/>
    <w:rsid w:val="02B50726"/>
    <w:rsid w:val="02B8562E"/>
    <w:rsid w:val="02C31095"/>
    <w:rsid w:val="033337C7"/>
    <w:rsid w:val="038C6FFE"/>
    <w:rsid w:val="04006856"/>
    <w:rsid w:val="041C0FD1"/>
    <w:rsid w:val="04406715"/>
    <w:rsid w:val="048F7C19"/>
    <w:rsid w:val="04B944C7"/>
    <w:rsid w:val="04CB2483"/>
    <w:rsid w:val="05127654"/>
    <w:rsid w:val="051B5860"/>
    <w:rsid w:val="06515254"/>
    <w:rsid w:val="06CA7625"/>
    <w:rsid w:val="078C0700"/>
    <w:rsid w:val="07B37A97"/>
    <w:rsid w:val="0824701C"/>
    <w:rsid w:val="08B5322E"/>
    <w:rsid w:val="08C6006F"/>
    <w:rsid w:val="08EB2DDA"/>
    <w:rsid w:val="09294979"/>
    <w:rsid w:val="092F43DC"/>
    <w:rsid w:val="09723479"/>
    <w:rsid w:val="09CF6571"/>
    <w:rsid w:val="09F61D50"/>
    <w:rsid w:val="0A193961"/>
    <w:rsid w:val="0AA10204"/>
    <w:rsid w:val="0AB2719C"/>
    <w:rsid w:val="0B446AEB"/>
    <w:rsid w:val="0B493381"/>
    <w:rsid w:val="0BD00C0A"/>
    <w:rsid w:val="0C0F4CA9"/>
    <w:rsid w:val="0C872834"/>
    <w:rsid w:val="0C996F32"/>
    <w:rsid w:val="0D500D75"/>
    <w:rsid w:val="0D586E73"/>
    <w:rsid w:val="0D896A37"/>
    <w:rsid w:val="0DD35DF0"/>
    <w:rsid w:val="0DDD6D83"/>
    <w:rsid w:val="0E261F56"/>
    <w:rsid w:val="0E922FED"/>
    <w:rsid w:val="0EE0705A"/>
    <w:rsid w:val="0F7466D8"/>
    <w:rsid w:val="107734BE"/>
    <w:rsid w:val="114F61E9"/>
    <w:rsid w:val="126C254B"/>
    <w:rsid w:val="12BC340B"/>
    <w:rsid w:val="135C5B39"/>
    <w:rsid w:val="137D5290"/>
    <w:rsid w:val="13912AE9"/>
    <w:rsid w:val="13A51976"/>
    <w:rsid w:val="13A866AB"/>
    <w:rsid w:val="13C7650B"/>
    <w:rsid w:val="13D824C6"/>
    <w:rsid w:val="140A56D8"/>
    <w:rsid w:val="145E4DF3"/>
    <w:rsid w:val="146718B9"/>
    <w:rsid w:val="14763D07"/>
    <w:rsid w:val="149028F1"/>
    <w:rsid w:val="14986DEA"/>
    <w:rsid w:val="14A27D77"/>
    <w:rsid w:val="14FA22E2"/>
    <w:rsid w:val="15192D96"/>
    <w:rsid w:val="15466355"/>
    <w:rsid w:val="15D019BA"/>
    <w:rsid w:val="16027CCE"/>
    <w:rsid w:val="16362871"/>
    <w:rsid w:val="16774157"/>
    <w:rsid w:val="16FE44FE"/>
    <w:rsid w:val="17113DB4"/>
    <w:rsid w:val="171750B3"/>
    <w:rsid w:val="176E0569"/>
    <w:rsid w:val="17DF7A1A"/>
    <w:rsid w:val="18575DED"/>
    <w:rsid w:val="18AA2C29"/>
    <w:rsid w:val="18BC3B18"/>
    <w:rsid w:val="18E67433"/>
    <w:rsid w:val="190D0F2F"/>
    <w:rsid w:val="190D2425"/>
    <w:rsid w:val="192B12EA"/>
    <w:rsid w:val="193F7B8C"/>
    <w:rsid w:val="194B7296"/>
    <w:rsid w:val="19595BC1"/>
    <w:rsid w:val="19766A09"/>
    <w:rsid w:val="19874560"/>
    <w:rsid w:val="19923117"/>
    <w:rsid w:val="19965DD8"/>
    <w:rsid w:val="1A2A4786"/>
    <w:rsid w:val="1A536DB3"/>
    <w:rsid w:val="1A613215"/>
    <w:rsid w:val="1A6F650A"/>
    <w:rsid w:val="1A733A07"/>
    <w:rsid w:val="1B254F07"/>
    <w:rsid w:val="1B570174"/>
    <w:rsid w:val="1B6207A9"/>
    <w:rsid w:val="1B982159"/>
    <w:rsid w:val="1BD3327B"/>
    <w:rsid w:val="1CF30371"/>
    <w:rsid w:val="1D00167E"/>
    <w:rsid w:val="1D294EC8"/>
    <w:rsid w:val="1D8105DD"/>
    <w:rsid w:val="1DA713F5"/>
    <w:rsid w:val="1DB67AAD"/>
    <w:rsid w:val="1E2F3C7A"/>
    <w:rsid w:val="1E7B04AA"/>
    <w:rsid w:val="1F0661B3"/>
    <w:rsid w:val="1F23626A"/>
    <w:rsid w:val="1F4E3F44"/>
    <w:rsid w:val="1FBE0BDD"/>
    <w:rsid w:val="1FE84B52"/>
    <w:rsid w:val="200639A4"/>
    <w:rsid w:val="20140622"/>
    <w:rsid w:val="203D0806"/>
    <w:rsid w:val="20651585"/>
    <w:rsid w:val="207C4233"/>
    <w:rsid w:val="2080260A"/>
    <w:rsid w:val="20A21E92"/>
    <w:rsid w:val="20AA0283"/>
    <w:rsid w:val="20C640EA"/>
    <w:rsid w:val="21731A80"/>
    <w:rsid w:val="21996E33"/>
    <w:rsid w:val="21AB2FC8"/>
    <w:rsid w:val="21DF17AC"/>
    <w:rsid w:val="232142F5"/>
    <w:rsid w:val="236217AE"/>
    <w:rsid w:val="236B2A0F"/>
    <w:rsid w:val="238A4A63"/>
    <w:rsid w:val="238B30B1"/>
    <w:rsid w:val="23C10219"/>
    <w:rsid w:val="23D031BA"/>
    <w:rsid w:val="24125580"/>
    <w:rsid w:val="24284DA4"/>
    <w:rsid w:val="243F38C6"/>
    <w:rsid w:val="24442F8E"/>
    <w:rsid w:val="246F29D3"/>
    <w:rsid w:val="24EC4023"/>
    <w:rsid w:val="252B02AF"/>
    <w:rsid w:val="25E847EB"/>
    <w:rsid w:val="25FA2770"/>
    <w:rsid w:val="261A1D72"/>
    <w:rsid w:val="26330DA5"/>
    <w:rsid w:val="265F25D3"/>
    <w:rsid w:val="26A338B2"/>
    <w:rsid w:val="26BD4963"/>
    <w:rsid w:val="26CD1C32"/>
    <w:rsid w:val="2727416A"/>
    <w:rsid w:val="27644345"/>
    <w:rsid w:val="27D43B30"/>
    <w:rsid w:val="27DD40F7"/>
    <w:rsid w:val="293B10D5"/>
    <w:rsid w:val="294E6773"/>
    <w:rsid w:val="295F6A41"/>
    <w:rsid w:val="29785E86"/>
    <w:rsid w:val="2A0D0CC4"/>
    <w:rsid w:val="2A900FAD"/>
    <w:rsid w:val="2A9248F6"/>
    <w:rsid w:val="2A9444EB"/>
    <w:rsid w:val="2AA02B44"/>
    <w:rsid w:val="2B1A7537"/>
    <w:rsid w:val="2B51698E"/>
    <w:rsid w:val="2B807273"/>
    <w:rsid w:val="2BAC0068"/>
    <w:rsid w:val="2C282B4F"/>
    <w:rsid w:val="2C370DC2"/>
    <w:rsid w:val="2C534988"/>
    <w:rsid w:val="2CBA0563"/>
    <w:rsid w:val="2CEF4110"/>
    <w:rsid w:val="2D0210E4"/>
    <w:rsid w:val="2D903FCE"/>
    <w:rsid w:val="2DB15E0A"/>
    <w:rsid w:val="2EBA7E4A"/>
    <w:rsid w:val="2F0D35E6"/>
    <w:rsid w:val="2FB57851"/>
    <w:rsid w:val="2FCC6F2B"/>
    <w:rsid w:val="2FF26266"/>
    <w:rsid w:val="2FF73C80"/>
    <w:rsid w:val="304F5466"/>
    <w:rsid w:val="305F38FB"/>
    <w:rsid w:val="305F7677"/>
    <w:rsid w:val="313E5C07"/>
    <w:rsid w:val="317433D6"/>
    <w:rsid w:val="319F009A"/>
    <w:rsid w:val="32171FB4"/>
    <w:rsid w:val="3226765E"/>
    <w:rsid w:val="324B208A"/>
    <w:rsid w:val="324C52F9"/>
    <w:rsid w:val="324D5387"/>
    <w:rsid w:val="325B78A5"/>
    <w:rsid w:val="32607DFF"/>
    <w:rsid w:val="32A03C7B"/>
    <w:rsid w:val="33260700"/>
    <w:rsid w:val="33581728"/>
    <w:rsid w:val="335E6A48"/>
    <w:rsid w:val="338A3DA8"/>
    <w:rsid w:val="33A019ED"/>
    <w:rsid w:val="33A27C04"/>
    <w:rsid w:val="33B842DD"/>
    <w:rsid w:val="33E02FA5"/>
    <w:rsid w:val="34303155"/>
    <w:rsid w:val="34364A4A"/>
    <w:rsid w:val="347E631A"/>
    <w:rsid w:val="348F22D5"/>
    <w:rsid w:val="34B61F58"/>
    <w:rsid w:val="35892825"/>
    <w:rsid w:val="35A554CC"/>
    <w:rsid w:val="35C3627B"/>
    <w:rsid w:val="35EB5C31"/>
    <w:rsid w:val="35ED3FC5"/>
    <w:rsid w:val="35F745D6"/>
    <w:rsid w:val="36034D29"/>
    <w:rsid w:val="36093D2C"/>
    <w:rsid w:val="36130DD6"/>
    <w:rsid w:val="361909F0"/>
    <w:rsid w:val="362178A5"/>
    <w:rsid w:val="363A4DC9"/>
    <w:rsid w:val="36493F00"/>
    <w:rsid w:val="36A42C8E"/>
    <w:rsid w:val="36BF709B"/>
    <w:rsid w:val="36D773DE"/>
    <w:rsid w:val="36DA13B2"/>
    <w:rsid w:val="36DB5AC1"/>
    <w:rsid w:val="36FB71FF"/>
    <w:rsid w:val="371F15C9"/>
    <w:rsid w:val="378810B7"/>
    <w:rsid w:val="37A4078E"/>
    <w:rsid w:val="37BF5C8E"/>
    <w:rsid w:val="38284F1B"/>
    <w:rsid w:val="384F06F9"/>
    <w:rsid w:val="386947E2"/>
    <w:rsid w:val="387E5A53"/>
    <w:rsid w:val="38D01C33"/>
    <w:rsid w:val="39462087"/>
    <w:rsid w:val="39873EC3"/>
    <w:rsid w:val="3A0F4F20"/>
    <w:rsid w:val="3A7C1D7A"/>
    <w:rsid w:val="3B091033"/>
    <w:rsid w:val="3B3D5CB4"/>
    <w:rsid w:val="3B471CD2"/>
    <w:rsid w:val="3B673BEC"/>
    <w:rsid w:val="3B774B39"/>
    <w:rsid w:val="3B7F473A"/>
    <w:rsid w:val="3B862684"/>
    <w:rsid w:val="3B903503"/>
    <w:rsid w:val="3BAA4176"/>
    <w:rsid w:val="3BAE71A0"/>
    <w:rsid w:val="3BCE6655"/>
    <w:rsid w:val="3C3E1262"/>
    <w:rsid w:val="3C49599A"/>
    <w:rsid w:val="3C582203"/>
    <w:rsid w:val="3CA134EE"/>
    <w:rsid w:val="3CD613E9"/>
    <w:rsid w:val="3CE46E56"/>
    <w:rsid w:val="3D024B68"/>
    <w:rsid w:val="3D0C4818"/>
    <w:rsid w:val="3D7A7FC6"/>
    <w:rsid w:val="3DD84CED"/>
    <w:rsid w:val="3E081AA2"/>
    <w:rsid w:val="3E180BCF"/>
    <w:rsid w:val="3E1C3B38"/>
    <w:rsid w:val="3E5A5855"/>
    <w:rsid w:val="3E8F78AF"/>
    <w:rsid w:val="3EC62D97"/>
    <w:rsid w:val="3EE85404"/>
    <w:rsid w:val="3F12457C"/>
    <w:rsid w:val="3F346050"/>
    <w:rsid w:val="3FBF656F"/>
    <w:rsid w:val="3FEF5459"/>
    <w:rsid w:val="40537A7D"/>
    <w:rsid w:val="406421C4"/>
    <w:rsid w:val="406B380E"/>
    <w:rsid w:val="40A37950"/>
    <w:rsid w:val="416A65A4"/>
    <w:rsid w:val="41A15F78"/>
    <w:rsid w:val="4217035F"/>
    <w:rsid w:val="423B584A"/>
    <w:rsid w:val="4281150A"/>
    <w:rsid w:val="4323158A"/>
    <w:rsid w:val="43256A94"/>
    <w:rsid w:val="43776682"/>
    <w:rsid w:val="43CB46B0"/>
    <w:rsid w:val="43EA577A"/>
    <w:rsid w:val="43F601F2"/>
    <w:rsid w:val="445C495B"/>
    <w:rsid w:val="448E0F67"/>
    <w:rsid w:val="448F308A"/>
    <w:rsid w:val="449A71A0"/>
    <w:rsid w:val="44A71888"/>
    <w:rsid w:val="44D2693A"/>
    <w:rsid w:val="44F10201"/>
    <w:rsid w:val="45744880"/>
    <w:rsid w:val="459D0E81"/>
    <w:rsid w:val="45B47DEE"/>
    <w:rsid w:val="46072613"/>
    <w:rsid w:val="46216785"/>
    <w:rsid w:val="462F1B6A"/>
    <w:rsid w:val="46F304F7"/>
    <w:rsid w:val="47095F17"/>
    <w:rsid w:val="47226493"/>
    <w:rsid w:val="472B75FD"/>
    <w:rsid w:val="47495932"/>
    <w:rsid w:val="4777325F"/>
    <w:rsid w:val="4786273E"/>
    <w:rsid w:val="48077256"/>
    <w:rsid w:val="481C6BB6"/>
    <w:rsid w:val="484D25F9"/>
    <w:rsid w:val="484F4161"/>
    <w:rsid w:val="487241CC"/>
    <w:rsid w:val="48CE3E95"/>
    <w:rsid w:val="4AE46738"/>
    <w:rsid w:val="4AF339B0"/>
    <w:rsid w:val="4AFA2747"/>
    <w:rsid w:val="4B090BDC"/>
    <w:rsid w:val="4B4C6376"/>
    <w:rsid w:val="4B712E37"/>
    <w:rsid w:val="4BC61CE0"/>
    <w:rsid w:val="4C0E50FF"/>
    <w:rsid w:val="4C1D1B8A"/>
    <w:rsid w:val="4C24126A"/>
    <w:rsid w:val="4C69663C"/>
    <w:rsid w:val="4CD40E1D"/>
    <w:rsid w:val="4D007DBC"/>
    <w:rsid w:val="4D137AF0"/>
    <w:rsid w:val="4D41465D"/>
    <w:rsid w:val="4D4E6D7A"/>
    <w:rsid w:val="4D6B3488"/>
    <w:rsid w:val="4D7F7D7C"/>
    <w:rsid w:val="4D830D02"/>
    <w:rsid w:val="4DB52955"/>
    <w:rsid w:val="4DD70B17"/>
    <w:rsid w:val="4E0F6D8F"/>
    <w:rsid w:val="4E4E2408"/>
    <w:rsid w:val="4E7D0571"/>
    <w:rsid w:val="4EBB3F9B"/>
    <w:rsid w:val="4F2878B1"/>
    <w:rsid w:val="4F337FD5"/>
    <w:rsid w:val="4F9C3DCC"/>
    <w:rsid w:val="50461D9C"/>
    <w:rsid w:val="50CA4969"/>
    <w:rsid w:val="51012742"/>
    <w:rsid w:val="512C5966"/>
    <w:rsid w:val="51314ABD"/>
    <w:rsid w:val="51361FFF"/>
    <w:rsid w:val="513D513B"/>
    <w:rsid w:val="51654692"/>
    <w:rsid w:val="51B86EB8"/>
    <w:rsid w:val="51CE36E3"/>
    <w:rsid w:val="51E11F6A"/>
    <w:rsid w:val="51F021AD"/>
    <w:rsid w:val="528149E0"/>
    <w:rsid w:val="52A86854"/>
    <w:rsid w:val="52BC6534"/>
    <w:rsid w:val="52C930D8"/>
    <w:rsid w:val="52CD0741"/>
    <w:rsid w:val="531445C2"/>
    <w:rsid w:val="532A16EF"/>
    <w:rsid w:val="533A0E0E"/>
    <w:rsid w:val="53741F9D"/>
    <w:rsid w:val="539418BE"/>
    <w:rsid w:val="5449248C"/>
    <w:rsid w:val="54534EC8"/>
    <w:rsid w:val="54752A66"/>
    <w:rsid w:val="54AA0D3A"/>
    <w:rsid w:val="554E2D6F"/>
    <w:rsid w:val="556A187F"/>
    <w:rsid w:val="559D43FA"/>
    <w:rsid w:val="55F7014E"/>
    <w:rsid w:val="564451BE"/>
    <w:rsid w:val="567A473C"/>
    <w:rsid w:val="56B53713"/>
    <w:rsid w:val="56F50266"/>
    <w:rsid w:val="570A5ABF"/>
    <w:rsid w:val="57541431"/>
    <w:rsid w:val="577949F3"/>
    <w:rsid w:val="57B435FC"/>
    <w:rsid w:val="57B8708A"/>
    <w:rsid w:val="57D85BBE"/>
    <w:rsid w:val="57DE5455"/>
    <w:rsid w:val="58065478"/>
    <w:rsid w:val="58AC0B1E"/>
    <w:rsid w:val="58E40592"/>
    <w:rsid w:val="5926524C"/>
    <w:rsid w:val="592B7F6F"/>
    <w:rsid w:val="59545718"/>
    <w:rsid w:val="596179CA"/>
    <w:rsid w:val="59966E01"/>
    <w:rsid w:val="5A0F163F"/>
    <w:rsid w:val="5A37459D"/>
    <w:rsid w:val="5AB67D0C"/>
    <w:rsid w:val="5B56634F"/>
    <w:rsid w:val="5BBD3790"/>
    <w:rsid w:val="5BCB48E6"/>
    <w:rsid w:val="5CA24878"/>
    <w:rsid w:val="5CDE4B9D"/>
    <w:rsid w:val="5D7337F5"/>
    <w:rsid w:val="5D81328C"/>
    <w:rsid w:val="5DE9100A"/>
    <w:rsid w:val="5DF41277"/>
    <w:rsid w:val="5E597A30"/>
    <w:rsid w:val="5E7E704B"/>
    <w:rsid w:val="5F043D98"/>
    <w:rsid w:val="5F20437F"/>
    <w:rsid w:val="5F394C08"/>
    <w:rsid w:val="5FA97E40"/>
    <w:rsid w:val="6074044E"/>
    <w:rsid w:val="607B521D"/>
    <w:rsid w:val="60A70B88"/>
    <w:rsid w:val="60B30F76"/>
    <w:rsid w:val="60E26F9B"/>
    <w:rsid w:val="610D01AE"/>
    <w:rsid w:val="612B3ABB"/>
    <w:rsid w:val="61572249"/>
    <w:rsid w:val="616670CE"/>
    <w:rsid w:val="61AE50A6"/>
    <w:rsid w:val="624C43BB"/>
    <w:rsid w:val="624D097F"/>
    <w:rsid w:val="625B18C5"/>
    <w:rsid w:val="62A32961"/>
    <w:rsid w:val="630261E5"/>
    <w:rsid w:val="63076E8E"/>
    <w:rsid w:val="631A52DC"/>
    <w:rsid w:val="631E1371"/>
    <w:rsid w:val="631F416F"/>
    <w:rsid w:val="63B63177"/>
    <w:rsid w:val="64281C7B"/>
    <w:rsid w:val="647E0425"/>
    <w:rsid w:val="64AA08E2"/>
    <w:rsid w:val="64C23E7D"/>
    <w:rsid w:val="64D450D8"/>
    <w:rsid w:val="65097A15"/>
    <w:rsid w:val="65D478A0"/>
    <w:rsid w:val="66134265"/>
    <w:rsid w:val="6678677C"/>
    <w:rsid w:val="667A42E4"/>
    <w:rsid w:val="66CC0FE3"/>
    <w:rsid w:val="673858C6"/>
    <w:rsid w:val="674943E2"/>
    <w:rsid w:val="67F611D5"/>
    <w:rsid w:val="686139AD"/>
    <w:rsid w:val="68991B2C"/>
    <w:rsid w:val="69990F25"/>
    <w:rsid w:val="6AFD3AF5"/>
    <w:rsid w:val="6B8050BC"/>
    <w:rsid w:val="6B824366"/>
    <w:rsid w:val="6BA82F71"/>
    <w:rsid w:val="6BD4493D"/>
    <w:rsid w:val="6BE56D52"/>
    <w:rsid w:val="6C262B15"/>
    <w:rsid w:val="6C8C44CD"/>
    <w:rsid w:val="6CC9263E"/>
    <w:rsid w:val="6CD8389B"/>
    <w:rsid w:val="6CE45D81"/>
    <w:rsid w:val="6D035033"/>
    <w:rsid w:val="6D58333F"/>
    <w:rsid w:val="6D8C1AA4"/>
    <w:rsid w:val="6DFB0400"/>
    <w:rsid w:val="6E3642CF"/>
    <w:rsid w:val="6E5A200B"/>
    <w:rsid w:val="6ECD4E5E"/>
    <w:rsid w:val="6EF01245"/>
    <w:rsid w:val="6F286FD3"/>
    <w:rsid w:val="6F457B85"/>
    <w:rsid w:val="6F6E2552"/>
    <w:rsid w:val="6F984690"/>
    <w:rsid w:val="6F9A6059"/>
    <w:rsid w:val="6FE74798"/>
    <w:rsid w:val="6FF47FFC"/>
    <w:rsid w:val="70343755"/>
    <w:rsid w:val="717D3F41"/>
    <w:rsid w:val="71DA11D5"/>
    <w:rsid w:val="72090FF9"/>
    <w:rsid w:val="724265FE"/>
    <w:rsid w:val="725B5E7F"/>
    <w:rsid w:val="72723E32"/>
    <w:rsid w:val="72A66B8C"/>
    <w:rsid w:val="73D634A1"/>
    <w:rsid w:val="742E55FC"/>
    <w:rsid w:val="745D7787"/>
    <w:rsid w:val="74892CC5"/>
    <w:rsid w:val="74942E5F"/>
    <w:rsid w:val="74A72748"/>
    <w:rsid w:val="74E85415"/>
    <w:rsid w:val="7541674A"/>
    <w:rsid w:val="75805AAF"/>
    <w:rsid w:val="7583581A"/>
    <w:rsid w:val="762A53DF"/>
    <w:rsid w:val="764C5FBF"/>
    <w:rsid w:val="76D65596"/>
    <w:rsid w:val="77226BF5"/>
    <w:rsid w:val="772D46B5"/>
    <w:rsid w:val="77316F6C"/>
    <w:rsid w:val="773213A2"/>
    <w:rsid w:val="779C67B0"/>
    <w:rsid w:val="77B77E41"/>
    <w:rsid w:val="78022751"/>
    <w:rsid w:val="783A7E07"/>
    <w:rsid w:val="789C48DA"/>
    <w:rsid w:val="78F35090"/>
    <w:rsid w:val="79A720C0"/>
    <w:rsid w:val="79CD5559"/>
    <w:rsid w:val="7A68450A"/>
    <w:rsid w:val="7A7D567C"/>
    <w:rsid w:val="7BC4545A"/>
    <w:rsid w:val="7BF32717"/>
    <w:rsid w:val="7C10151B"/>
    <w:rsid w:val="7C945CA8"/>
    <w:rsid w:val="7CA37C99"/>
    <w:rsid w:val="7CD03C0D"/>
    <w:rsid w:val="7D2863F0"/>
    <w:rsid w:val="7D6B1788"/>
    <w:rsid w:val="7E676E21"/>
    <w:rsid w:val="7E9C0C05"/>
    <w:rsid w:val="7EAC42DE"/>
    <w:rsid w:val="7F7E5EB6"/>
    <w:rsid w:val="7F9C013A"/>
    <w:rsid w:val="7FA24E5C"/>
    <w:rsid w:val="7FFD3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2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nnotationText"/>
    <w:basedOn w:val="1"/>
    <w:link w:val="14"/>
    <w:qFormat/>
    <w:uiPriority w:val="0"/>
    <w:pPr>
      <w:jc w:val="left"/>
    </w:pPr>
  </w:style>
  <w:style w:type="character" w:customStyle="1" w:styleId="14">
    <w:name w:val="UserStyle_0"/>
    <w:link w:val="13"/>
    <w:qFormat/>
    <w:uiPriority w:val="0"/>
    <w:rPr>
      <w:kern w:val="2"/>
      <w:sz w:val="21"/>
      <w:szCs w:val="24"/>
    </w:rPr>
  </w:style>
  <w:style w:type="paragraph" w:customStyle="1" w:styleId="15">
    <w:name w:val="Acetate"/>
    <w:basedOn w:val="1"/>
    <w:semiHidden/>
    <w:qFormat/>
    <w:uiPriority w:val="0"/>
    <w:rPr>
      <w:sz w:val="18"/>
      <w:szCs w:val="18"/>
    </w:rPr>
  </w:style>
  <w:style w:type="character" w:customStyle="1" w:styleId="16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8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9">
    <w:name w:val="AnnotationSubject"/>
    <w:basedOn w:val="13"/>
    <w:next w:val="13"/>
    <w:link w:val="20"/>
    <w:qFormat/>
    <w:uiPriority w:val="0"/>
    <w:rPr>
      <w:b/>
      <w:bCs/>
    </w:rPr>
  </w:style>
  <w:style w:type="character" w:customStyle="1" w:styleId="20">
    <w:name w:val="UserStyle_3"/>
    <w:link w:val="19"/>
    <w:qFormat/>
    <w:uiPriority w:val="0"/>
    <w:rPr>
      <w:rFonts w:cs="Times New Roman"/>
      <w:b/>
      <w:bCs/>
      <w:kern w:val="2"/>
      <w:sz w:val="21"/>
      <w:szCs w:val="24"/>
    </w:rPr>
  </w:style>
  <w:style w:type="table" w:customStyle="1" w:styleId="21">
    <w:name w:val="TableGrid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TableElegant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AnnotationReference"/>
    <w:qFormat/>
    <w:uiPriority w:val="0"/>
    <w:rPr>
      <w:sz w:val="21"/>
      <w:szCs w:val="21"/>
    </w:rPr>
  </w:style>
  <w:style w:type="paragraph" w:customStyle="1" w:styleId="24">
    <w:name w:val="179"/>
    <w:basedOn w:val="1"/>
    <w:qFormat/>
    <w:uiPriority w:val="0"/>
    <w:pPr>
      <w:ind w:firstLine="420" w:firstLineChars="200"/>
    </w:pPr>
  </w:style>
  <w:style w:type="table" w:customStyle="1" w:styleId="25">
    <w:name w:val="UserStyle_4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UserStyle_5"/>
    <w:basedOn w:val="1"/>
    <w:qFormat/>
    <w:uiPriority w:val="0"/>
    <w:pPr>
      <w:spacing w:after="60"/>
    </w:pPr>
    <w:rPr>
      <w:rFonts w:ascii="微软雅黑" w:hAnsi="微软雅黑" w:eastAsia="微软雅黑"/>
      <w:sz w:val="18"/>
    </w:rPr>
  </w:style>
  <w:style w:type="character" w:customStyle="1" w:styleId="27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40784;&#26149;&#24494;\&#36136;&#25511;&#21150;&#24037;&#20316;\&#21508;&#31181;&#26816;&#26597;\&#26399;&#20013;&#25945;&#23398;&#26816;&#26597;\2022-2023-1&#26399;&#20013;&#25945;&#23398;&#26816;&#26597;\2022-2023-1&#26399;&#20013;&#25945;&#23398;&#26816;&#26597;&#35745;&#31639;&#36807;&#3124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40784;&#26149;&#24494;\&#36136;&#25511;&#21150;&#24037;&#20316;\&#21508;&#31181;&#26816;&#26597;\&#26399;&#20013;&#25945;&#23398;&#26816;&#26597;\2022-2023-1&#26399;&#20013;&#25945;&#23398;&#26816;&#26597;\2022-2023-1&#26399;&#20013;&#25945;&#23398;&#26816;&#26597;&#35745;&#31639;&#36807;&#3124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40784;&#26149;&#24494;\&#36136;&#25511;&#21150;&#24037;&#20316;\&#21508;&#31181;&#26816;&#26597;\&#26399;&#20013;&#25945;&#23398;&#26816;&#26597;\2022-2023-1&#26399;&#20013;&#25945;&#23398;&#26816;&#26597;\2022-2023-1&#26399;&#20013;&#25945;&#23398;&#26816;&#26597;&#35745;&#31639;&#36807;&#3124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直播效果</a:t>
            </a:r>
          </a:p>
        </c:rich>
      </c:tx>
      <c:layout>
        <c:manualLayout>
          <c:xMode val="edge"/>
          <c:yMode val="edge"/>
          <c:x val="0.358834244080146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486</a:t>
                    </a:r>
                    <a:r>
                      <a:rPr lang="en-US" altLang="zh-CN"/>
                      <a:t>/82.79%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3469945355191"/>
                      <c:h val="0.13876404494382"/>
                    </c:manualLayout>
                  </c15:layout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101</a:t>
                    </a:r>
                    <a:r>
                      <a:rPr lang="en-US" altLang="zh-CN"/>
                      <a:t>/17.21%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009107468124"/>
                      <c:h val="0.1387640449438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'[2022-2023-1期中教学检查计算过程.xlsx]导出计数_直播效果'!$A$2:$A$3</c:f>
              <c:strCache>
                <c:ptCount val="2"/>
                <c:pt idx="0">
                  <c:v>较好</c:v>
                </c:pt>
                <c:pt idx="1">
                  <c:v>一般</c:v>
                </c:pt>
              </c:strCache>
            </c:strRef>
          </c:cat>
          <c:val>
            <c:numRef>
              <c:f>'[2022-2023-1期中教学检查计算过程.xlsx]导出计数_直播效果'!$B$2:$B$3</c:f>
              <c:numCache>
                <c:formatCode>General</c:formatCode>
                <c:ptCount val="2"/>
                <c:pt idx="0">
                  <c:v>486</c:v>
                </c:pt>
                <c:pt idx="1">
                  <c:v>101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3648000"/>
        <c:axId val="263649536"/>
      </c:barChart>
      <c:catAx>
        <c:axId val="2636480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649536"/>
        <c:crosses val="autoZero"/>
        <c:auto val="1"/>
        <c:lblAlgn val="ctr"/>
        <c:lblOffset val="100"/>
        <c:noMultiLvlLbl val="0"/>
      </c:catAx>
      <c:valAx>
        <c:axId val="26364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648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线上、线下过渡衔接情况</a:t>
            </a:r>
          </a:p>
        </c:rich>
      </c:tx>
      <c:layout>
        <c:manualLayout>
          <c:xMode val="edge"/>
          <c:yMode val="edge"/>
          <c:x val="0.142138047997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567</a:t>
                    </a:r>
                    <a:r>
                      <a:rPr lang="en-US" altLang="zh-CN"/>
                      <a:t>/96.92%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263475732498"/>
                      <c:h val="0.139903709997168"/>
                    </c:manualLayout>
                  </c15:layout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18</a:t>
                    </a:r>
                    <a:r>
                      <a:rPr lang="en-US" altLang="zh-CN"/>
                      <a:t>/3.08%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'[2022-2023-1期中教学检查计算过程.xlsx]导出计数_线上、线下过渡衔接情况'!$A$2:$A$3</c:f>
              <c:strCache>
                <c:ptCount val="2"/>
                <c:pt idx="0">
                  <c:v>较好</c:v>
                </c:pt>
                <c:pt idx="1">
                  <c:v>一般</c:v>
                </c:pt>
              </c:strCache>
            </c:strRef>
          </c:cat>
          <c:val>
            <c:numRef>
              <c:f>'[2022-2023-1期中教学检查计算过程.xlsx]导出计数_线上、线下过渡衔接情况'!$B$2:$B$3</c:f>
              <c:numCache>
                <c:formatCode>General</c:formatCode>
                <c:ptCount val="2"/>
                <c:pt idx="0">
                  <c:v>567</c:v>
                </c:pt>
                <c:pt idx="1">
                  <c:v>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2916480"/>
        <c:axId val="272919168"/>
      </c:barChart>
      <c:catAx>
        <c:axId val="2729164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2919168"/>
        <c:crosses val="autoZero"/>
        <c:auto val="1"/>
        <c:lblAlgn val="ctr"/>
        <c:lblOffset val="100"/>
        <c:noMultiLvlLbl val="0"/>
      </c:catAx>
      <c:valAx>
        <c:axId val="27291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2916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教学效果评价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238</a:t>
                    </a:r>
                    <a:r>
                      <a:rPr lang="en-US" altLang="zh-CN"/>
                      <a:t>/40.55%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345</a:t>
                    </a:r>
                    <a:r>
                      <a:rPr lang="en-US" altLang="zh-CN"/>
                      <a:t>/58.77%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4</a:t>
                    </a:r>
                    <a:r>
                      <a:rPr lang="en-US" altLang="zh-CN"/>
                      <a:t>/0.68%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'[2022-2023-1期中教学检查计算过程.xlsx]导出计数_教学效果评价'!$A$2:$A$4</c:f>
              <c:strCache>
                <c:ptCount val="3"/>
                <c:pt idx="0">
                  <c:v>良</c:v>
                </c:pt>
                <c:pt idx="1">
                  <c:v>优</c:v>
                </c:pt>
                <c:pt idx="2">
                  <c:v>中</c:v>
                </c:pt>
              </c:strCache>
            </c:strRef>
          </c:cat>
          <c:val>
            <c:numRef>
              <c:f>'[2022-2023-1期中教学检查计算过程.xlsx]导出计数_教学效果评价'!$B$2:$B$4</c:f>
              <c:numCache>
                <c:formatCode>General</c:formatCode>
                <c:ptCount val="3"/>
                <c:pt idx="0">
                  <c:v>238</c:v>
                </c:pt>
                <c:pt idx="1">
                  <c:v>345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8519296"/>
        <c:axId val="438521216"/>
      </c:barChart>
      <c:catAx>
        <c:axId val="4385192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521216"/>
        <c:crosses val="autoZero"/>
        <c:auto val="1"/>
        <c:lblAlgn val="ctr"/>
        <c:lblOffset val="100"/>
        <c:noMultiLvlLbl val="0"/>
      </c:catAx>
      <c:valAx>
        <c:axId val="43852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51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5141</Words>
  <Characters>7522</Characters>
  <Lines>74</Lines>
  <Paragraphs>20</Paragraphs>
  <TotalTime>4</TotalTime>
  <ScaleCrop>false</ScaleCrop>
  <LinksUpToDate>false</LinksUpToDate>
  <CharactersWithSpaces>7543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2021-11-26T05:18:00Z</dcterms:created>
  <dc:creator>Administrator</dc:creator>
  <cp:lastModifiedBy>齐春微</cp:lastModifiedBy>
  <dcterms:modified xsi:type="dcterms:W3CDTF">2022-12-26T04:29:55Z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DFC9FD9425B543DDB3457B2B30EB62F7</vt:lpwstr>
  </property>
</Properties>
</file>