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ascii="黑体" w:hAnsi="黑体" w:eastAsia="黑体"/>
          <w:b/>
          <w:sz w:val="36"/>
          <w:szCs w:val="36"/>
          <w:highlight w:val="none"/>
          <w:lang w:val="zh-CN"/>
        </w:rPr>
      </w:pPr>
      <w:r>
        <w:rPr>
          <w:rFonts w:hint="eastAsia" w:ascii="黑体" w:hAnsi="黑体" w:eastAsia="黑体"/>
          <w:b/>
          <w:sz w:val="36"/>
          <w:szCs w:val="36"/>
          <w:highlight w:val="none"/>
          <w:lang w:val="zh-CN"/>
        </w:rPr>
        <w:t>课程考核与成绩管理办法（修订）</w:t>
      </w:r>
    </w:p>
    <w:p>
      <w:pPr>
        <w:spacing w:line="576" w:lineRule="exact"/>
        <w:rPr>
          <w:rFonts w:asciiTheme="minorEastAsia" w:hAnsiTheme="minorEastAsia" w:eastAsiaTheme="minorEastAsia"/>
          <w:szCs w:val="21"/>
          <w:highlight w:val="none"/>
          <w:lang w:val="zh-CN"/>
        </w:rPr>
      </w:pPr>
    </w:p>
    <w:p>
      <w:pPr>
        <w:spacing w:line="576" w:lineRule="exact"/>
        <w:jc w:val="center"/>
        <w:rPr>
          <w:rFonts w:ascii="仿宋_GB2312" w:hAnsi="黑体" w:eastAsia="仿宋_GB2312" w:cs="黑体"/>
          <w:b/>
          <w:sz w:val="32"/>
          <w:szCs w:val="32"/>
          <w:highlight w:val="none"/>
        </w:rPr>
      </w:pPr>
      <w:r>
        <w:rPr>
          <w:rFonts w:hint="eastAsia" w:ascii="仿宋_GB2312" w:hAnsi="黑体" w:eastAsia="仿宋_GB2312" w:cs="黑体"/>
          <w:b/>
          <w:sz w:val="32"/>
          <w:szCs w:val="32"/>
          <w:highlight w:val="none"/>
        </w:rPr>
        <w:t>第一章   总  则</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第一条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为贯彻执行教育部颁发的《普通高等学校学生管理规定》中关于课程考核的规定，做好学生成绩评定与管理工作，根据我校实际状况和工作需要，特制定本办法。</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第二条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 xml:space="preserve"> 课程考核的目的在于全面、正确地检查和评价学生掌握所学知识与技能、发展能力、培养良好品德的状况与程度，以此总结教学经验，评估与改进教学工作，提高教学质量。</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第三条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课程考核的范围包括德育、智育、体育三个方面。凡属于培养方案规定的必修课程（包括实验、实习、实训、设计、军训及入学教育等实践性环节）及选修课程都要进行课程考核及成绩评定。</w:t>
      </w:r>
    </w:p>
    <w:p>
      <w:pPr>
        <w:spacing w:line="576" w:lineRule="exact"/>
        <w:jc w:val="center"/>
        <w:rPr>
          <w:rFonts w:ascii="仿宋_GB2312" w:hAnsi="黑体" w:eastAsia="仿宋_GB2312" w:cs="黑体"/>
          <w:b/>
          <w:sz w:val="32"/>
          <w:szCs w:val="32"/>
          <w:highlight w:val="none"/>
        </w:rPr>
      </w:pPr>
      <w:r>
        <w:rPr>
          <w:rFonts w:hint="eastAsia" w:ascii="仿宋_GB2312" w:hAnsi="黑体" w:eastAsia="仿宋_GB2312" w:cs="黑体"/>
          <w:b/>
          <w:sz w:val="32"/>
          <w:szCs w:val="32"/>
          <w:highlight w:val="none"/>
        </w:rPr>
        <w:t>第二章   课程考核职责分工</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第四条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考试课程的考核工作由教务处统一组织，其他课程的考核工作由各学院（部）自行组织进行。</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第五条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 xml:space="preserve"> </w:t>
      </w:r>
      <w:r>
        <w:rPr>
          <w:rFonts w:hint="eastAsia" w:ascii="仿宋_GB2312" w:hAnsi="仿宋" w:eastAsia="仿宋_GB2312" w:cs="仿宋"/>
          <w:kern w:val="0"/>
          <w:sz w:val="32"/>
          <w:szCs w:val="32"/>
          <w:highlight w:val="none"/>
          <w:lang w:val="en-US" w:eastAsia="zh-CN"/>
        </w:rPr>
        <w:t>各</w:t>
      </w:r>
      <w:r>
        <w:rPr>
          <w:rFonts w:hint="eastAsia" w:ascii="仿宋_GB2312" w:hAnsi="仿宋" w:eastAsia="仿宋_GB2312" w:cs="仿宋"/>
          <w:kern w:val="0"/>
          <w:sz w:val="32"/>
          <w:szCs w:val="32"/>
          <w:highlight w:val="none"/>
        </w:rPr>
        <w:t>教研室负责指定主考教师，主考教师一般应具有主讲教师资格。主考教师具有确定考核方法、组织命题、参与评卷的权力和责任，并对这些环节的工作质量负责。</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kern w:val="0"/>
          <w:sz w:val="32"/>
          <w:szCs w:val="32"/>
          <w:highlight w:val="none"/>
        </w:rPr>
        <w:t>第六条</w:t>
      </w:r>
      <w:r>
        <w:rPr>
          <w:rFonts w:hint="eastAsia" w:ascii="仿宋_GB2312" w:hAnsi="仿宋" w:eastAsia="仿宋_GB2312" w:cs="仿宋"/>
          <w:b/>
          <w:kern w:val="0"/>
          <w:sz w:val="32"/>
          <w:szCs w:val="32"/>
          <w:highlight w:val="none"/>
        </w:rPr>
        <w:t xml:space="preserve">  </w:t>
      </w:r>
      <w:r>
        <w:rPr>
          <w:rFonts w:hint="eastAsia" w:ascii="仿宋_GB2312" w:hAnsi="仿宋" w:eastAsia="仿宋_GB2312" w:cs="仿宋"/>
          <w:kern w:val="0"/>
          <w:sz w:val="32"/>
          <w:szCs w:val="32"/>
          <w:highlight w:val="none"/>
          <w:lang w:val="en-US" w:eastAsia="zh-CN"/>
        </w:rPr>
        <w:t>各</w:t>
      </w:r>
      <w:r>
        <w:rPr>
          <w:rFonts w:hint="eastAsia" w:ascii="仿宋_GB2312" w:hAnsi="仿宋" w:eastAsia="仿宋_GB2312" w:cs="仿宋"/>
          <w:kern w:val="0"/>
          <w:sz w:val="32"/>
          <w:szCs w:val="32"/>
          <w:highlight w:val="none"/>
        </w:rPr>
        <w:t>教研室负责组织评阅试卷工作，阅卷教师具有评阅试卷、评定卷面成绩的权力和责任，并对</w:t>
      </w:r>
      <w:r>
        <w:rPr>
          <w:rFonts w:hint="eastAsia" w:ascii="仿宋_GB2312" w:hAnsi="仿宋" w:eastAsia="仿宋_GB2312" w:cs="仿宋"/>
          <w:kern w:val="0"/>
          <w:sz w:val="32"/>
          <w:szCs w:val="32"/>
          <w:highlight w:val="none"/>
          <w:lang w:val="en-US" w:eastAsia="zh-CN"/>
        </w:rPr>
        <w:t>各</w:t>
      </w:r>
      <w:r>
        <w:rPr>
          <w:rFonts w:hint="eastAsia" w:ascii="仿宋_GB2312" w:hAnsi="仿宋" w:eastAsia="仿宋_GB2312" w:cs="仿宋"/>
          <w:kern w:val="0"/>
          <w:sz w:val="32"/>
          <w:szCs w:val="32"/>
          <w:highlight w:val="none"/>
        </w:rPr>
        <w:t>环节的工作质量负责。</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第七条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 xml:space="preserve"> </w:t>
      </w:r>
      <w:r>
        <w:rPr>
          <w:rFonts w:hint="eastAsia" w:ascii="仿宋_GB2312" w:hAnsi="仿宋" w:eastAsia="仿宋_GB2312" w:cs="仿宋"/>
          <w:kern w:val="0"/>
          <w:sz w:val="32"/>
          <w:szCs w:val="32"/>
          <w:highlight w:val="none"/>
          <w:lang w:val="en-US" w:eastAsia="zh-CN"/>
        </w:rPr>
        <w:t>各</w:t>
      </w:r>
      <w:r>
        <w:rPr>
          <w:rFonts w:hint="eastAsia" w:ascii="仿宋_GB2312" w:hAnsi="仿宋" w:eastAsia="仿宋_GB2312" w:cs="仿宋"/>
          <w:kern w:val="0"/>
          <w:sz w:val="32"/>
          <w:szCs w:val="32"/>
          <w:highlight w:val="none"/>
        </w:rPr>
        <w:t>教研室负责组织对课程考核结果的复查，并监督相关教师按学校规定提出成绩更正申请，经院（部）、教务处审批后进行更正。</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第八条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bCs/>
          <w:kern w:val="0"/>
          <w:sz w:val="32"/>
          <w:szCs w:val="32"/>
          <w:highlight w:val="none"/>
        </w:rPr>
        <w:t>各院（部）</w:t>
      </w:r>
      <w:r>
        <w:rPr>
          <w:rFonts w:hint="eastAsia" w:ascii="仿宋_GB2312" w:hAnsi="仿宋" w:eastAsia="仿宋_GB2312" w:cs="仿宋"/>
          <w:kern w:val="0"/>
          <w:sz w:val="32"/>
          <w:szCs w:val="32"/>
          <w:highlight w:val="none"/>
        </w:rPr>
        <w:t>对课程考核全过程负责。教务处、教学质量监控办公室有权对课程考核全过程进行监督、检查。</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第九条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 xml:space="preserve"> 教务处负责对课程考核结果进行审核。</w:t>
      </w:r>
    </w:p>
    <w:p>
      <w:pPr>
        <w:spacing w:line="576" w:lineRule="exact"/>
        <w:jc w:val="center"/>
        <w:rPr>
          <w:rFonts w:ascii="仿宋_GB2312" w:hAnsi="黑体" w:eastAsia="仿宋_GB2312" w:cs="黑体"/>
          <w:b/>
          <w:sz w:val="32"/>
          <w:szCs w:val="32"/>
          <w:highlight w:val="none"/>
        </w:rPr>
      </w:pPr>
      <w:r>
        <w:rPr>
          <w:rFonts w:hint="eastAsia" w:ascii="仿宋_GB2312" w:hAnsi="黑体" w:eastAsia="仿宋_GB2312" w:cs="黑体"/>
          <w:b/>
          <w:sz w:val="32"/>
          <w:szCs w:val="32"/>
          <w:highlight w:val="none"/>
        </w:rPr>
        <w:t>第三章  课程考核资格审查</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kern w:val="0"/>
          <w:sz w:val="32"/>
          <w:szCs w:val="32"/>
          <w:highlight w:val="none"/>
        </w:rPr>
        <w:t>第十条</w:t>
      </w:r>
      <w:r>
        <w:rPr>
          <w:rFonts w:hint="eastAsia" w:ascii="仿宋_GB2312" w:hAnsi="楷体"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 xml:space="preserve"> 当前学期未注册的在籍学生，没有参加该学期任何课程的考核资格。</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kern w:val="0"/>
          <w:sz w:val="32"/>
          <w:szCs w:val="32"/>
          <w:highlight w:val="none"/>
        </w:rPr>
        <w:t>第十一条</w:t>
      </w:r>
      <w:r>
        <w:rPr>
          <w:rFonts w:hint="eastAsia" w:ascii="仿宋_GB2312" w:hAnsi="仿宋" w:eastAsia="仿宋_GB2312" w:cs="仿宋"/>
          <w:kern w:val="0"/>
          <w:sz w:val="32"/>
          <w:szCs w:val="32"/>
          <w:highlight w:val="none"/>
        </w:rPr>
        <w:t xml:space="preserve">  缺课学时数累计达到某门课程总学时数三分之一的学生，取消其该课程的考核资格。</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任课教师及辅导员应在结课前对学生进行考核资格审查，对取消考核资格的学生填写《取消学生考核资格审批表》，经所在学院（部）或学工处审批通过后，报教务处备案。</w:t>
      </w:r>
    </w:p>
    <w:p>
      <w:pPr>
        <w:widowControl/>
        <w:spacing w:line="576" w:lineRule="exact"/>
        <w:ind w:firstLine="643" w:firstLineChars="200"/>
        <w:jc w:val="left"/>
        <w:rPr>
          <w:rFonts w:ascii="仿宋_GB2312" w:hAnsi="仿宋" w:eastAsia="仿宋_GB2312" w:cs="仿宋"/>
          <w:bCs/>
          <w:kern w:val="0"/>
          <w:sz w:val="32"/>
          <w:szCs w:val="32"/>
          <w:highlight w:val="none"/>
        </w:rPr>
      </w:pPr>
      <w:r>
        <w:rPr>
          <w:rFonts w:hint="eastAsia" w:ascii="仿宋_GB2312" w:hAnsi="楷体" w:eastAsia="仿宋_GB2312" w:cs="仿宋"/>
          <w:b/>
          <w:kern w:val="0"/>
          <w:sz w:val="32"/>
          <w:szCs w:val="32"/>
          <w:highlight w:val="none"/>
        </w:rPr>
        <w:t>第十二条</w:t>
      </w:r>
      <w:r>
        <w:rPr>
          <w:rFonts w:hint="eastAsia" w:ascii="仿宋_GB2312" w:hAnsi="仿宋" w:eastAsia="仿宋_GB2312" w:cs="仿宋"/>
          <w:b/>
          <w:kern w:val="0"/>
          <w:sz w:val="32"/>
          <w:szCs w:val="32"/>
          <w:highlight w:val="none"/>
        </w:rPr>
        <w:t xml:space="preserve">  </w:t>
      </w:r>
      <w:r>
        <w:rPr>
          <w:rFonts w:hint="eastAsia" w:ascii="仿宋_GB2312" w:hAnsi="仿宋" w:eastAsia="仿宋_GB2312" w:cs="仿宋"/>
          <w:bCs/>
          <w:kern w:val="0"/>
          <w:sz w:val="32"/>
          <w:szCs w:val="32"/>
          <w:highlight w:val="none"/>
        </w:rPr>
        <w:t>学生因病不能按期参加课程考核，须在课程考核前持学校指定的二级甲等及以上医院证明，向所在学院提出缓考申请，经学院</w:t>
      </w:r>
      <w:r>
        <w:rPr>
          <w:rFonts w:hint="eastAsia" w:ascii="仿宋_GB2312" w:hAnsi="仿宋" w:eastAsia="仿宋_GB2312" w:cs="仿宋"/>
          <w:kern w:val="0"/>
          <w:sz w:val="32"/>
          <w:szCs w:val="32"/>
          <w:highlight w:val="none"/>
        </w:rPr>
        <w:t>审批、校医院核实通过</w:t>
      </w:r>
      <w:r>
        <w:rPr>
          <w:rFonts w:hint="eastAsia" w:ascii="仿宋_GB2312" w:hAnsi="仿宋" w:eastAsia="仿宋_GB2312" w:cs="仿宋"/>
          <w:bCs/>
          <w:kern w:val="0"/>
          <w:sz w:val="32"/>
          <w:szCs w:val="32"/>
          <w:highlight w:val="none"/>
        </w:rPr>
        <w:t>后，报教务处备案，可参加该课程缓考。</w:t>
      </w:r>
    </w:p>
    <w:p>
      <w:pPr>
        <w:widowControl/>
        <w:spacing w:line="576" w:lineRule="exact"/>
        <w:ind w:firstLine="640" w:firstLineChars="200"/>
        <w:jc w:val="left"/>
        <w:rPr>
          <w:rFonts w:ascii="仿宋_GB2312" w:hAnsi="仿宋" w:eastAsia="仿宋_GB2312" w:cs="仿宋"/>
          <w:bCs/>
          <w:kern w:val="0"/>
          <w:sz w:val="32"/>
          <w:szCs w:val="32"/>
          <w:highlight w:val="none"/>
        </w:rPr>
      </w:pPr>
      <w:r>
        <w:rPr>
          <w:rFonts w:hint="eastAsia" w:ascii="仿宋_GB2312" w:hAnsi="仿宋" w:eastAsia="仿宋_GB2312" w:cs="仿宋"/>
          <w:bCs/>
          <w:kern w:val="0"/>
          <w:sz w:val="32"/>
          <w:szCs w:val="32"/>
          <w:highlight w:val="none"/>
        </w:rPr>
        <w:t>学生因事原则上不允许申请缓考；补考者不允许申请缓考；实验、实习、实训、设计等实践类必修课程不允许申请缓考；选修课程不允许申请缓考。</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kern w:val="0"/>
          <w:sz w:val="32"/>
          <w:szCs w:val="32"/>
          <w:highlight w:val="none"/>
        </w:rPr>
        <w:t>第十三条</w:t>
      </w:r>
      <w:r>
        <w:rPr>
          <w:rFonts w:hint="eastAsia" w:ascii="仿宋_GB2312" w:hAnsi="仿宋" w:eastAsia="仿宋_GB2312" w:cs="仿宋"/>
          <w:b/>
          <w:kern w:val="0"/>
          <w:sz w:val="32"/>
          <w:szCs w:val="32"/>
          <w:highlight w:val="none"/>
        </w:rPr>
        <w:t xml:space="preserve">  </w:t>
      </w:r>
      <w:r>
        <w:rPr>
          <w:rFonts w:hint="eastAsia" w:ascii="仿宋_GB2312" w:hAnsi="仿宋" w:eastAsia="仿宋_GB2312" w:cs="仿宋"/>
          <w:kern w:val="0"/>
          <w:sz w:val="32"/>
          <w:szCs w:val="32"/>
          <w:highlight w:val="none"/>
        </w:rPr>
        <w:t>必修课程（实验、实习、实训、设计等实践类课程除外）期末考核后，成绩未达到60分或成绩不及格的学生，可参加一次该课程的补考。</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课程期末考试中有违纪、作弊行为的学生，不允许参加该课程的补考；取消考核资格或缓考的学生不允许参加该课程的补考；重修课程无补考。</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各学院（部）教学秘书须在课程补考前对学生进行补考资格审查。</w:t>
      </w:r>
    </w:p>
    <w:p>
      <w:pPr>
        <w:widowControl/>
        <w:spacing w:line="576" w:lineRule="exact"/>
        <w:ind w:firstLine="643" w:firstLineChars="200"/>
        <w:jc w:val="left"/>
        <w:rPr>
          <w:rFonts w:ascii="仿宋_GB2312" w:hAnsi="仿宋" w:eastAsia="仿宋_GB2312" w:cs="仿宋"/>
          <w:b/>
          <w:kern w:val="0"/>
          <w:sz w:val="32"/>
          <w:szCs w:val="32"/>
          <w:highlight w:val="none"/>
        </w:rPr>
      </w:pPr>
      <w:r>
        <w:rPr>
          <w:rFonts w:hint="eastAsia" w:ascii="仿宋_GB2312" w:hAnsi="楷体" w:eastAsia="仿宋_GB2312" w:cs="仿宋"/>
          <w:b/>
          <w:kern w:val="0"/>
          <w:sz w:val="32"/>
          <w:szCs w:val="32"/>
          <w:highlight w:val="none"/>
        </w:rPr>
        <w:t>第十四条</w:t>
      </w:r>
      <w:r>
        <w:rPr>
          <w:rFonts w:hint="eastAsia" w:ascii="仿宋_GB2312" w:hAnsi="仿宋" w:eastAsia="仿宋_GB2312" w:cs="仿宋"/>
          <w:b/>
          <w:kern w:val="0"/>
          <w:sz w:val="32"/>
          <w:szCs w:val="32"/>
          <w:highlight w:val="none"/>
        </w:rPr>
        <w:t xml:space="preserve">  </w:t>
      </w:r>
      <w:r>
        <w:rPr>
          <w:rFonts w:hint="eastAsia" w:ascii="仿宋_GB2312" w:hAnsi="仿宋" w:eastAsia="仿宋_GB2312" w:cs="仿宋"/>
          <w:kern w:val="0"/>
          <w:sz w:val="32"/>
          <w:szCs w:val="32"/>
          <w:highlight w:val="none"/>
        </w:rPr>
        <w:t>具备以下情况之一者，可申请参加课程重修：</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1.必修课程（实验、实习、实训、设计等实践类课程除外）补考或缓考后，成绩仍未达到60分或成绩不及格的学生。</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2.实验、实习、实训、设计等实践类必修课程期末考核后，成绩不及格的学生；</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3.选修课程期末考核后，成绩不及格的学生；</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4.重修课程考核后，成绩仍未达到60分或成绩不及格的学生；</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5.课程考核已通过，但本人认为成绩不理想的学生；</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6.仍在最长学习年限内的结业学生。</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申请参加课程重修的学生，须到所在学院报名，经教务处审核通过并缴纳重修费用后，方可参加课程重修。</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kern w:val="0"/>
          <w:sz w:val="32"/>
          <w:szCs w:val="32"/>
          <w:highlight w:val="none"/>
        </w:rPr>
        <w:t>第十五条</w:t>
      </w:r>
      <w:r>
        <w:rPr>
          <w:rFonts w:hint="eastAsia" w:ascii="仿宋_GB2312" w:hAnsi="仿宋" w:eastAsia="仿宋_GB2312" w:cs="仿宋"/>
          <w:b/>
          <w:kern w:val="0"/>
          <w:sz w:val="32"/>
          <w:szCs w:val="32"/>
          <w:highlight w:val="none"/>
        </w:rPr>
        <w:t xml:space="preserve">  </w:t>
      </w:r>
      <w:r>
        <w:rPr>
          <w:rFonts w:hint="eastAsia" w:ascii="仿宋_GB2312" w:hAnsi="仿宋" w:eastAsia="仿宋_GB2312" w:cs="仿宋"/>
          <w:sz w:val="32"/>
          <w:szCs w:val="32"/>
          <w:highlight w:val="none"/>
          <w:lang w:val="en-US" w:eastAsia="zh-CN"/>
        </w:rPr>
        <w:t>因</w:t>
      </w:r>
      <w:r>
        <w:rPr>
          <w:rFonts w:hint="eastAsia" w:ascii="仿宋_GB2312" w:hAnsi="仿宋" w:eastAsia="仿宋_GB2312" w:cs="仿宋"/>
          <w:sz w:val="32"/>
          <w:szCs w:val="32"/>
          <w:highlight w:val="none"/>
          <w:lang w:val="zh-CN"/>
        </w:rPr>
        <w:t>身体原因不能进行剧烈体育运动的学生或身体残疾的学生、应征入伍服役期满复学的学生、从外校转学到我校的学生、通过自学等途径对培养方案规定的某门必修课程（思想政治类、体育类、实践类课程或带有课内实验、相对应课程设计环节的课程除外）的知识已掌握</w:t>
      </w:r>
      <w:r>
        <w:rPr>
          <w:rFonts w:hint="eastAsia" w:ascii="仿宋_GB2312" w:hAnsi="仿宋" w:eastAsia="仿宋_GB2312" w:cs="仿宋"/>
          <w:sz w:val="32"/>
          <w:szCs w:val="32"/>
          <w:highlight w:val="none"/>
          <w:lang w:val="en-US" w:eastAsia="zh-CN"/>
        </w:rPr>
        <w:t>的学生（每学期申请免修课程不超过2门）</w:t>
      </w:r>
      <w:r>
        <w:rPr>
          <w:rFonts w:hint="eastAsia" w:ascii="仿宋_GB2312" w:hAnsi="仿宋" w:eastAsia="仿宋_GB2312" w:cs="仿宋"/>
          <w:sz w:val="32"/>
          <w:szCs w:val="32"/>
          <w:highlight w:val="none"/>
          <w:lang w:val="zh-CN"/>
        </w:rPr>
        <w:t>，</w:t>
      </w:r>
      <w:r>
        <w:rPr>
          <w:rFonts w:hint="eastAsia" w:ascii="仿宋_GB2312" w:hAnsi="仿宋" w:eastAsia="仿宋_GB2312" w:cs="仿宋"/>
          <w:sz w:val="32"/>
          <w:szCs w:val="32"/>
          <w:highlight w:val="none"/>
          <w:lang w:val="en-US" w:eastAsia="zh-CN"/>
        </w:rPr>
        <w:t>按照学校《课程免修管理规定》要求，经考核、提交材料等流程审批</w:t>
      </w:r>
      <w:r>
        <w:rPr>
          <w:rFonts w:hint="eastAsia" w:ascii="仿宋_GB2312" w:hAnsi="仿宋" w:eastAsia="仿宋_GB2312" w:cs="仿宋"/>
          <w:kern w:val="0"/>
          <w:sz w:val="32"/>
          <w:szCs w:val="32"/>
          <w:highlight w:val="none"/>
        </w:rPr>
        <w:t>通过后，可免修</w:t>
      </w:r>
      <w:r>
        <w:rPr>
          <w:rFonts w:hint="eastAsia" w:ascii="仿宋_GB2312" w:hAnsi="仿宋" w:eastAsia="仿宋_GB2312" w:cs="仿宋"/>
          <w:kern w:val="0"/>
          <w:sz w:val="32"/>
          <w:szCs w:val="32"/>
          <w:highlight w:val="none"/>
          <w:lang w:val="en-US" w:eastAsia="zh-CN"/>
        </w:rPr>
        <w:t>相关课程并按规定记载成绩</w:t>
      </w:r>
      <w:r>
        <w:rPr>
          <w:rFonts w:hint="eastAsia" w:ascii="仿宋_GB2312" w:hAnsi="仿宋" w:eastAsia="仿宋_GB2312" w:cs="仿宋"/>
          <w:kern w:val="0"/>
          <w:sz w:val="32"/>
          <w:szCs w:val="32"/>
          <w:highlight w:val="none"/>
        </w:rPr>
        <w:t>。</w:t>
      </w:r>
    </w:p>
    <w:p>
      <w:pPr>
        <w:spacing w:line="576" w:lineRule="exact"/>
        <w:jc w:val="center"/>
        <w:rPr>
          <w:rFonts w:ascii="仿宋_GB2312" w:hAnsi="黑体" w:eastAsia="仿宋_GB2312" w:cs="黑体"/>
          <w:b/>
          <w:sz w:val="32"/>
          <w:szCs w:val="32"/>
          <w:highlight w:val="none"/>
        </w:rPr>
      </w:pPr>
      <w:r>
        <w:rPr>
          <w:rFonts w:hint="eastAsia" w:ascii="仿宋_GB2312" w:hAnsi="黑体" w:eastAsia="仿宋_GB2312" w:cs="黑体"/>
          <w:b/>
          <w:sz w:val="32"/>
          <w:szCs w:val="32"/>
          <w:highlight w:val="none"/>
        </w:rPr>
        <w:t>第四章   成绩评定与管理</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第十六条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按照培养方案的规定，课程考核方式分为考试、考查两类。</w:t>
      </w:r>
    </w:p>
    <w:p>
      <w:pPr>
        <w:widowControl/>
        <w:spacing w:line="576" w:lineRule="exact"/>
        <w:ind w:firstLine="640" w:firstLineChars="200"/>
        <w:jc w:val="left"/>
        <w:rPr>
          <w:rFonts w:hint="default" w:ascii="仿宋_GB2312" w:hAnsi="仿宋" w:eastAsia="仿宋_GB2312" w:cs="仿宋"/>
          <w:kern w:val="0"/>
          <w:sz w:val="32"/>
          <w:szCs w:val="32"/>
          <w:highlight w:val="none"/>
          <w:lang w:val="en-US"/>
        </w:rPr>
      </w:pPr>
      <w:r>
        <w:rPr>
          <w:rFonts w:hint="eastAsia" w:ascii="仿宋_GB2312" w:hAnsi="仿宋" w:eastAsia="仿宋_GB2312" w:cs="仿宋"/>
          <w:kern w:val="0"/>
          <w:sz w:val="32"/>
          <w:szCs w:val="32"/>
          <w:highlight w:val="none"/>
        </w:rPr>
        <w:t>以考试方式进行期末考核的课程，</w:t>
      </w:r>
      <w:r>
        <w:rPr>
          <w:rFonts w:hint="eastAsia" w:ascii="仿宋_GB2312" w:hAnsi="仿宋" w:eastAsia="仿宋_GB2312" w:cs="仿宋"/>
          <w:kern w:val="0"/>
          <w:sz w:val="32"/>
          <w:szCs w:val="32"/>
          <w:highlight w:val="none"/>
          <w:lang w:val="en-US" w:eastAsia="zh-CN"/>
        </w:rPr>
        <w:t>可根据课程实际情况增设</w:t>
      </w:r>
      <w:r>
        <w:rPr>
          <w:rFonts w:hint="eastAsia" w:ascii="仿宋_GB2312" w:hAnsi="仿宋" w:eastAsia="仿宋_GB2312" w:cs="仿宋"/>
          <w:kern w:val="0"/>
          <w:sz w:val="32"/>
          <w:szCs w:val="32"/>
          <w:highlight w:val="none"/>
        </w:rPr>
        <w:t>期中考试，</w:t>
      </w:r>
      <w:r>
        <w:rPr>
          <w:rFonts w:hint="eastAsia" w:ascii="仿宋_GB2312" w:hAnsi="仿宋" w:eastAsia="仿宋_GB2312" w:cs="仿宋"/>
          <w:kern w:val="0"/>
          <w:sz w:val="32"/>
          <w:szCs w:val="32"/>
          <w:highlight w:val="none"/>
          <w:lang w:val="en-US" w:eastAsia="zh-CN"/>
        </w:rPr>
        <w:t>课程</w:t>
      </w:r>
      <w:r>
        <w:rPr>
          <w:rFonts w:hint="eastAsia" w:ascii="仿宋_GB2312" w:hAnsi="仿宋" w:eastAsia="仿宋_GB2312" w:cs="仿宋"/>
          <w:kern w:val="0"/>
          <w:sz w:val="32"/>
          <w:szCs w:val="32"/>
          <w:highlight w:val="none"/>
        </w:rPr>
        <w:t>总成绩根据平时成绩、期中成绩、期末成绩综合评定，均以百分制记载。以考查方式进行期末考核的课程，课程总成绩根据平时成绩、期末成绩综合评定</w:t>
      </w:r>
      <w:r>
        <w:rPr>
          <w:rFonts w:hint="eastAsia" w:ascii="仿宋_GB2312" w:hAnsi="仿宋" w:eastAsia="仿宋_GB2312" w:cs="仿宋"/>
          <w:kern w:val="0"/>
          <w:sz w:val="32"/>
          <w:szCs w:val="32"/>
          <w:highlight w:val="none"/>
          <w:lang w:eastAsia="zh-CN"/>
        </w:rPr>
        <w:t>，</w:t>
      </w:r>
      <w:r>
        <w:rPr>
          <w:rFonts w:hint="eastAsia" w:ascii="仿宋_GB2312" w:hAnsi="仿宋" w:eastAsia="仿宋_GB2312" w:cs="仿宋"/>
          <w:kern w:val="0"/>
          <w:sz w:val="32"/>
          <w:szCs w:val="32"/>
          <w:highlight w:val="none"/>
        </w:rPr>
        <w:t>以等级制（优秀、良好、中等、及格、不及格）记载</w:t>
      </w:r>
      <w:r>
        <w:rPr>
          <w:rFonts w:hint="eastAsia" w:ascii="仿宋_GB2312" w:hAnsi="仿宋" w:eastAsia="仿宋_GB2312" w:cs="仿宋"/>
          <w:kern w:val="0"/>
          <w:sz w:val="32"/>
          <w:szCs w:val="32"/>
          <w:highlight w:val="none"/>
          <w:lang w:eastAsia="zh-CN"/>
        </w:rPr>
        <w:t>。</w:t>
      </w:r>
      <w:r>
        <w:rPr>
          <w:rFonts w:hint="eastAsia" w:ascii="仿宋_GB2312" w:hAnsi="仿宋" w:eastAsia="仿宋_GB2312" w:cs="仿宋"/>
          <w:kern w:val="0"/>
          <w:sz w:val="32"/>
          <w:szCs w:val="32"/>
          <w:highlight w:val="none"/>
        </w:rPr>
        <w:t>总成绩</w:t>
      </w:r>
      <w:r>
        <w:rPr>
          <w:rFonts w:hint="eastAsia" w:ascii="仿宋_GB2312" w:hAnsi="仿宋" w:eastAsia="仿宋_GB2312" w:cs="仿宋"/>
          <w:kern w:val="0"/>
          <w:sz w:val="32"/>
          <w:szCs w:val="32"/>
          <w:highlight w:val="none"/>
          <w:lang w:val="en-US" w:eastAsia="zh-CN"/>
        </w:rPr>
        <w:t>具体各项比例参见表1。</w:t>
      </w:r>
      <w:r>
        <w:rPr>
          <w:rFonts w:hint="eastAsia" w:ascii="仿宋_GB2312" w:hAnsi="仿宋" w:eastAsia="仿宋_GB2312" w:cs="仿宋"/>
          <w:kern w:val="0"/>
          <w:sz w:val="32"/>
          <w:szCs w:val="32"/>
          <w:highlight w:val="none"/>
        </w:rPr>
        <w:t>如特殊课程</w:t>
      </w:r>
      <w:r>
        <w:rPr>
          <w:rFonts w:hint="eastAsia" w:ascii="仿宋_GB2312" w:hAnsi="仿宋" w:eastAsia="仿宋_GB2312" w:cs="仿宋"/>
          <w:kern w:val="0"/>
          <w:sz w:val="32"/>
          <w:szCs w:val="32"/>
          <w:highlight w:val="none"/>
          <w:lang w:val="en-US" w:eastAsia="zh-CN"/>
        </w:rPr>
        <w:t>不能</w:t>
      </w:r>
      <w:r>
        <w:rPr>
          <w:rFonts w:hint="eastAsia" w:ascii="仿宋_GB2312" w:hAnsi="仿宋" w:eastAsia="仿宋_GB2312" w:cs="仿宋"/>
          <w:kern w:val="0"/>
          <w:sz w:val="32"/>
          <w:szCs w:val="32"/>
          <w:highlight w:val="none"/>
        </w:rPr>
        <w:t>按</w:t>
      </w:r>
      <w:r>
        <w:rPr>
          <w:rFonts w:hint="eastAsia" w:ascii="仿宋_GB2312" w:hAnsi="仿宋" w:eastAsia="仿宋_GB2312" w:cs="仿宋"/>
          <w:kern w:val="0"/>
          <w:sz w:val="32"/>
          <w:szCs w:val="32"/>
          <w:highlight w:val="none"/>
          <w:lang w:val="en-US" w:eastAsia="zh-CN"/>
        </w:rPr>
        <w:t>下</w:t>
      </w:r>
      <w:r>
        <w:rPr>
          <w:rFonts w:hint="eastAsia" w:ascii="仿宋_GB2312" w:hAnsi="仿宋" w:eastAsia="仿宋_GB2312" w:cs="仿宋"/>
          <w:kern w:val="0"/>
          <w:sz w:val="32"/>
          <w:szCs w:val="32"/>
          <w:highlight w:val="none"/>
        </w:rPr>
        <w:t>述比例进行总成绩评定，须由教学单位提出申请，报教务处审批通过后，可执行新比例。</w:t>
      </w:r>
    </w:p>
    <w:p>
      <w:pPr>
        <w:widowControl/>
        <w:spacing w:line="576" w:lineRule="exact"/>
        <w:ind w:left="0" w:leftChars="0" w:firstLine="0" w:firstLineChars="0"/>
        <w:jc w:val="center"/>
        <w:rPr>
          <w:rFonts w:hint="eastAsia" w:ascii="仿宋_GB2312" w:hAnsi="仿宋" w:eastAsia="仿宋_GB2312" w:cs="仿宋"/>
          <w:kern w:val="0"/>
          <w:sz w:val="32"/>
          <w:szCs w:val="32"/>
          <w:highlight w:val="none"/>
        </w:rPr>
      </w:pPr>
      <w:r>
        <w:rPr>
          <w:rFonts w:hint="eastAsia" w:ascii="仿宋" w:hAnsi="仿宋" w:eastAsia="仿宋" w:cs="宋体"/>
          <w:b/>
          <w:bCs/>
          <w:color w:val="2A2F35"/>
          <w:kern w:val="0"/>
          <w:sz w:val="24"/>
          <w:highlight w:val="none"/>
        </w:rPr>
        <w:t>表1 课程</w:t>
      </w:r>
      <w:r>
        <w:rPr>
          <w:rFonts w:hint="eastAsia" w:ascii="仿宋" w:hAnsi="仿宋" w:eastAsia="仿宋" w:cs="宋体"/>
          <w:b/>
          <w:bCs/>
          <w:color w:val="2A2F35"/>
          <w:kern w:val="0"/>
          <w:sz w:val="24"/>
          <w:highlight w:val="none"/>
          <w:lang w:val="en-US" w:eastAsia="zh-CN"/>
        </w:rPr>
        <w:t>总</w:t>
      </w:r>
      <w:r>
        <w:rPr>
          <w:rFonts w:hint="eastAsia" w:ascii="仿宋" w:hAnsi="仿宋" w:eastAsia="仿宋" w:cs="宋体"/>
          <w:b/>
          <w:bCs/>
          <w:color w:val="2A2F35"/>
          <w:kern w:val="0"/>
          <w:sz w:val="24"/>
          <w:highlight w:val="none"/>
        </w:rPr>
        <w:t>成绩</w:t>
      </w:r>
      <w:r>
        <w:rPr>
          <w:rFonts w:hint="eastAsia" w:ascii="仿宋" w:hAnsi="仿宋" w:eastAsia="仿宋" w:cs="宋体"/>
          <w:b/>
          <w:bCs/>
          <w:color w:val="2A2F35"/>
          <w:kern w:val="0"/>
          <w:sz w:val="24"/>
          <w:highlight w:val="none"/>
          <w:lang w:val="en-US" w:eastAsia="zh-CN"/>
        </w:rPr>
        <w:t>各项</w:t>
      </w:r>
      <w:r>
        <w:rPr>
          <w:rFonts w:hint="eastAsia" w:ascii="仿宋" w:hAnsi="仿宋" w:eastAsia="仿宋" w:cs="宋体"/>
          <w:b/>
          <w:bCs/>
          <w:color w:val="2A2F35"/>
          <w:kern w:val="0"/>
          <w:sz w:val="24"/>
          <w:highlight w:val="none"/>
        </w:rPr>
        <w:t>比例参考范围表</w:t>
      </w:r>
    </w:p>
    <w:tbl>
      <w:tblPr>
        <w:tblStyle w:val="9"/>
        <w:tblW w:w="8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15"/>
        <w:gridCol w:w="1000"/>
        <w:gridCol w:w="1110"/>
        <w:gridCol w:w="1125"/>
        <w:gridCol w:w="1140"/>
        <w:gridCol w:w="840"/>
        <w:gridCol w:w="1033"/>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15" w:type="dxa"/>
            <w:vMerge w:val="restart"/>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课程类别</w:t>
            </w:r>
          </w:p>
        </w:tc>
        <w:tc>
          <w:tcPr>
            <w:tcW w:w="4375" w:type="dxa"/>
            <w:gridSpan w:val="4"/>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考试类课程</w:t>
            </w:r>
          </w:p>
        </w:tc>
        <w:tc>
          <w:tcPr>
            <w:tcW w:w="840" w:type="dxa"/>
            <w:vMerge w:val="restart"/>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考查类课程</w:t>
            </w:r>
          </w:p>
        </w:tc>
        <w:tc>
          <w:tcPr>
            <w:tcW w:w="2034" w:type="dxa"/>
            <w:gridSpan w:val="2"/>
            <w:vMerge w:val="restart"/>
            <w:tcMar>
              <w:top w:w="0" w:type="dxa"/>
              <w:left w:w="108" w:type="dxa"/>
              <w:bottom w:w="0" w:type="dxa"/>
              <w:right w:w="108" w:type="dxa"/>
            </w:tcMar>
            <w:vAlign w:val="center"/>
          </w:tcPr>
          <w:p>
            <w:pPr>
              <w:widowControl/>
              <w:wordWrap w:val="0"/>
              <w:spacing w:beforeAutospacing="1" w:afterAutospacing="1"/>
              <w:jc w:val="center"/>
              <w:rPr>
                <w:rStyle w:val="12"/>
                <w:rFonts w:hint="eastAsia" w:ascii="仿宋" w:hAnsi="仿宋" w:eastAsia="仿宋" w:cs="仿宋"/>
                <w:color w:val="2A2F35"/>
                <w:sz w:val="24"/>
                <w:szCs w:val="24"/>
                <w:highlight w:val="none"/>
                <w:lang w:eastAsia="zh-CN"/>
              </w:rPr>
            </w:pPr>
            <w:r>
              <w:rPr>
                <w:rStyle w:val="12"/>
                <w:rFonts w:hint="eastAsia" w:ascii="仿宋" w:hAnsi="仿宋" w:eastAsia="仿宋" w:cs="仿宋"/>
                <w:color w:val="2A2F35"/>
                <w:sz w:val="24"/>
                <w:szCs w:val="24"/>
                <w:highlight w:val="none"/>
              </w:rPr>
              <w:t>在线开放课程</w:t>
            </w:r>
            <w:r>
              <w:rPr>
                <w:rStyle w:val="12"/>
                <w:rFonts w:hint="eastAsia" w:ascii="仿宋" w:hAnsi="仿宋" w:eastAsia="仿宋" w:cs="仿宋"/>
                <w:color w:val="2A2F35"/>
                <w:sz w:val="24"/>
                <w:szCs w:val="24"/>
                <w:highlight w:val="none"/>
                <w:lang w:eastAsia="zh-CN"/>
              </w:rPr>
              <w:t>（</w:t>
            </w:r>
            <w:r>
              <w:rPr>
                <w:rStyle w:val="12"/>
                <w:rFonts w:hint="eastAsia" w:ascii="仿宋" w:hAnsi="仿宋" w:eastAsia="仿宋" w:cs="仿宋"/>
                <w:color w:val="2A2F35"/>
                <w:sz w:val="24"/>
                <w:szCs w:val="24"/>
                <w:highlight w:val="none"/>
                <w:lang w:val="en-US" w:eastAsia="zh-CN"/>
              </w:rPr>
              <w:t>含混合式教学</w:t>
            </w:r>
            <w:r>
              <w:rPr>
                <w:rStyle w:val="12"/>
                <w:rFonts w:hint="eastAsia" w:ascii="仿宋" w:hAnsi="仿宋" w:eastAsia="仿宋" w:cs="仿宋"/>
                <w:color w:val="2A2F35"/>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15"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p>
        </w:tc>
        <w:tc>
          <w:tcPr>
            <w:tcW w:w="2110" w:type="dxa"/>
            <w:gridSpan w:val="2"/>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bidi="ar-SA"/>
              </w:rPr>
            </w:pPr>
            <w:r>
              <w:rPr>
                <w:rFonts w:hint="eastAsia" w:ascii="仿宋" w:hAnsi="仿宋" w:eastAsia="仿宋" w:cs="仿宋"/>
                <w:b/>
                <w:bCs/>
                <w:color w:val="2A2F35"/>
                <w:kern w:val="0"/>
                <w:sz w:val="24"/>
                <w:szCs w:val="24"/>
                <w:highlight w:val="none"/>
                <w:lang w:val="en-US" w:eastAsia="zh-CN"/>
              </w:rPr>
              <w:t>一般课程</w:t>
            </w:r>
          </w:p>
        </w:tc>
        <w:tc>
          <w:tcPr>
            <w:tcW w:w="2265" w:type="dxa"/>
            <w:gridSpan w:val="2"/>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bidi="ar-SA"/>
              </w:rPr>
            </w:pPr>
            <w:r>
              <w:rPr>
                <w:rFonts w:hint="eastAsia" w:ascii="仿宋" w:hAnsi="仿宋" w:eastAsia="仿宋" w:cs="仿宋"/>
                <w:b/>
                <w:bCs/>
                <w:color w:val="2A2F35"/>
                <w:kern w:val="0"/>
                <w:sz w:val="24"/>
                <w:szCs w:val="24"/>
                <w:highlight w:val="none"/>
                <w:lang w:val="en-US" w:eastAsia="zh-CN"/>
              </w:rPr>
              <w:t>思政类、制图类课程</w:t>
            </w:r>
          </w:p>
        </w:tc>
        <w:tc>
          <w:tcPr>
            <w:tcW w:w="840"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p>
        </w:tc>
        <w:tc>
          <w:tcPr>
            <w:tcW w:w="2034" w:type="dxa"/>
            <w:gridSpan w:val="2"/>
            <w:vMerge w:val="continue"/>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15"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p>
        </w:tc>
        <w:tc>
          <w:tcPr>
            <w:tcW w:w="1000"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无期中考试</w:t>
            </w:r>
          </w:p>
        </w:tc>
        <w:tc>
          <w:tcPr>
            <w:tcW w:w="111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有期中考试</w:t>
            </w:r>
          </w:p>
        </w:tc>
        <w:tc>
          <w:tcPr>
            <w:tcW w:w="112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无期中考试</w:t>
            </w:r>
          </w:p>
        </w:tc>
        <w:tc>
          <w:tcPr>
            <w:tcW w:w="11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有期中考试</w:t>
            </w:r>
          </w:p>
        </w:tc>
        <w:tc>
          <w:tcPr>
            <w:tcW w:w="840"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p>
        </w:tc>
        <w:tc>
          <w:tcPr>
            <w:tcW w:w="1033"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无期中考试</w:t>
            </w:r>
          </w:p>
        </w:tc>
        <w:tc>
          <w:tcPr>
            <w:tcW w:w="1001"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有期中考试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1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平时成绩</w:t>
            </w:r>
          </w:p>
        </w:tc>
        <w:tc>
          <w:tcPr>
            <w:tcW w:w="1000"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30%</w:t>
            </w:r>
          </w:p>
        </w:tc>
        <w:tc>
          <w:tcPr>
            <w:tcW w:w="111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30%</w:t>
            </w:r>
          </w:p>
        </w:tc>
        <w:tc>
          <w:tcPr>
            <w:tcW w:w="112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40%</w:t>
            </w:r>
          </w:p>
        </w:tc>
        <w:tc>
          <w:tcPr>
            <w:tcW w:w="11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40%</w:t>
            </w:r>
          </w:p>
        </w:tc>
        <w:tc>
          <w:tcPr>
            <w:tcW w:w="8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bidi="ar-SA"/>
              </w:rPr>
            </w:pPr>
            <w:r>
              <w:rPr>
                <w:rFonts w:hint="eastAsia" w:ascii="仿宋" w:hAnsi="仿宋" w:eastAsia="仿宋" w:cs="仿宋"/>
                <w:color w:val="2A2F35"/>
                <w:kern w:val="0"/>
                <w:sz w:val="24"/>
                <w:szCs w:val="24"/>
                <w:highlight w:val="none"/>
                <w:lang w:val="en-US" w:eastAsia="zh-CN"/>
              </w:rPr>
              <w:t>50%</w:t>
            </w:r>
          </w:p>
        </w:tc>
        <w:tc>
          <w:tcPr>
            <w:tcW w:w="1033"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50%</w:t>
            </w:r>
          </w:p>
        </w:tc>
        <w:tc>
          <w:tcPr>
            <w:tcW w:w="1001"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1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期中成绩</w:t>
            </w:r>
          </w:p>
        </w:tc>
        <w:tc>
          <w:tcPr>
            <w:tcW w:w="1000"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w:t>
            </w:r>
          </w:p>
        </w:tc>
        <w:tc>
          <w:tcPr>
            <w:tcW w:w="111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20%</w:t>
            </w:r>
          </w:p>
        </w:tc>
        <w:tc>
          <w:tcPr>
            <w:tcW w:w="1125"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w:t>
            </w:r>
          </w:p>
        </w:tc>
        <w:tc>
          <w:tcPr>
            <w:tcW w:w="11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20%</w:t>
            </w:r>
          </w:p>
        </w:tc>
        <w:tc>
          <w:tcPr>
            <w:tcW w:w="840"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color w:val="2A2F35"/>
                <w:kern w:val="0"/>
                <w:sz w:val="24"/>
                <w:szCs w:val="24"/>
                <w:highlight w:val="none"/>
                <w:lang w:val="en-US" w:eastAsia="zh-CN" w:bidi="ar-SA"/>
              </w:rPr>
            </w:pPr>
            <w:r>
              <w:rPr>
                <w:rFonts w:hint="eastAsia" w:ascii="仿宋" w:hAnsi="仿宋" w:eastAsia="仿宋" w:cs="仿宋"/>
                <w:color w:val="2A2F35"/>
                <w:kern w:val="0"/>
                <w:sz w:val="24"/>
                <w:szCs w:val="24"/>
                <w:highlight w:val="none"/>
                <w:lang w:val="en-US" w:eastAsia="zh-CN" w:bidi="ar-SA"/>
              </w:rPr>
              <w:t>--</w:t>
            </w:r>
          </w:p>
        </w:tc>
        <w:tc>
          <w:tcPr>
            <w:tcW w:w="1033"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color w:val="2A2F35"/>
                <w:kern w:val="0"/>
                <w:sz w:val="24"/>
                <w:szCs w:val="24"/>
                <w:highlight w:val="none"/>
                <w:lang w:val="en-US" w:eastAsia="zh-CN" w:bidi="ar-SA"/>
              </w:rPr>
            </w:pPr>
            <w:r>
              <w:rPr>
                <w:rFonts w:hint="eastAsia" w:ascii="仿宋" w:hAnsi="仿宋" w:eastAsia="仿宋" w:cs="仿宋"/>
                <w:color w:val="2A2F35"/>
                <w:kern w:val="0"/>
                <w:sz w:val="24"/>
                <w:szCs w:val="24"/>
                <w:highlight w:val="none"/>
                <w:lang w:val="en-US" w:eastAsia="zh-CN" w:bidi="ar-SA"/>
              </w:rPr>
              <w:t>--</w:t>
            </w:r>
          </w:p>
        </w:tc>
        <w:tc>
          <w:tcPr>
            <w:tcW w:w="1001"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color w:val="2A2F35"/>
                <w:kern w:val="0"/>
                <w:sz w:val="24"/>
                <w:szCs w:val="24"/>
                <w:highlight w:val="none"/>
                <w:lang w:val="en-US" w:eastAsia="zh-CN" w:bidi="ar-SA"/>
              </w:rPr>
            </w:pPr>
            <w:r>
              <w:rPr>
                <w:rFonts w:hint="eastAsia" w:ascii="仿宋" w:hAnsi="仿宋" w:eastAsia="仿宋" w:cs="仿宋"/>
                <w:color w:val="2A2F35"/>
                <w:kern w:val="0"/>
                <w:sz w:val="24"/>
                <w:szCs w:val="24"/>
                <w:highlight w:val="none"/>
                <w:lang w:val="en-US" w:eastAsia="zh-CN"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1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期末成绩</w:t>
            </w:r>
          </w:p>
        </w:tc>
        <w:tc>
          <w:tcPr>
            <w:tcW w:w="100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70%</w:t>
            </w:r>
          </w:p>
        </w:tc>
        <w:tc>
          <w:tcPr>
            <w:tcW w:w="111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50%</w:t>
            </w:r>
          </w:p>
        </w:tc>
        <w:tc>
          <w:tcPr>
            <w:tcW w:w="112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60%</w:t>
            </w:r>
          </w:p>
        </w:tc>
        <w:tc>
          <w:tcPr>
            <w:tcW w:w="11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40%</w:t>
            </w:r>
          </w:p>
        </w:tc>
        <w:tc>
          <w:tcPr>
            <w:tcW w:w="8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bidi="ar-SA"/>
              </w:rPr>
            </w:pPr>
            <w:r>
              <w:rPr>
                <w:rFonts w:hint="eastAsia" w:ascii="仿宋" w:hAnsi="仿宋" w:eastAsia="仿宋" w:cs="仿宋"/>
                <w:color w:val="2A2F35"/>
                <w:kern w:val="0"/>
                <w:sz w:val="24"/>
                <w:szCs w:val="24"/>
                <w:highlight w:val="none"/>
                <w:lang w:val="en-US" w:eastAsia="zh-CN"/>
              </w:rPr>
              <w:t>50%</w:t>
            </w:r>
          </w:p>
        </w:tc>
        <w:tc>
          <w:tcPr>
            <w:tcW w:w="1033"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50%</w:t>
            </w:r>
          </w:p>
        </w:tc>
        <w:tc>
          <w:tcPr>
            <w:tcW w:w="1001"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1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总成绩</w:t>
            </w:r>
          </w:p>
        </w:tc>
        <w:tc>
          <w:tcPr>
            <w:tcW w:w="100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100%</w:t>
            </w:r>
          </w:p>
        </w:tc>
        <w:tc>
          <w:tcPr>
            <w:tcW w:w="1110" w:type="dxa"/>
            <w:tcMar>
              <w:top w:w="0" w:type="dxa"/>
              <w:left w:w="108" w:type="dxa"/>
              <w:bottom w:w="0" w:type="dxa"/>
              <w:right w:w="108" w:type="dxa"/>
            </w:tcMar>
            <w:vAlign w:val="center"/>
          </w:tcPr>
          <w:p>
            <w:pPr>
              <w:widowControl/>
              <w:wordWrap w:val="0"/>
              <w:spacing w:beforeAutospacing="1" w:afterAutospacing="1"/>
              <w:jc w:val="center"/>
              <w:rPr>
                <w:rFonts w:hint="default"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100%</w:t>
            </w:r>
          </w:p>
        </w:tc>
        <w:tc>
          <w:tcPr>
            <w:tcW w:w="1125"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100%</w:t>
            </w:r>
          </w:p>
        </w:tc>
        <w:tc>
          <w:tcPr>
            <w:tcW w:w="11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100%</w:t>
            </w:r>
          </w:p>
        </w:tc>
        <w:tc>
          <w:tcPr>
            <w:tcW w:w="840"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bidi="ar-SA"/>
              </w:rPr>
            </w:pPr>
            <w:r>
              <w:rPr>
                <w:rFonts w:hint="eastAsia" w:ascii="仿宋" w:hAnsi="仿宋" w:eastAsia="仿宋" w:cs="仿宋"/>
                <w:color w:val="2A2F35"/>
                <w:kern w:val="0"/>
                <w:sz w:val="24"/>
                <w:szCs w:val="24"/>
                <w:highlight w:val="none"/>
                <w:lang w:val="en-US" w:eastAsia="zh-CN"/>
              </w:rPr>
              <w:t>100%</w:t>
            </w:r>
          </w:p>
        </w:tc>
        <w:tc>
          <w:tcPr>
            <w:tcW w:w="1033"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100%</w:t>
            </w:r>
          </w:p>
        </w:tc>
        <w:tc>
          <w:tcPr>
            <w:tcW w:w="1001" w:type="dxa"/>
            <w:tcMar>
              <w:top w:w="0" w:type="dxa"/>
              <w:left w:w="108" w:type="dxa"/>
              <w:bottom w:w="0" w:type="dxa"/>
              <w:right w:w="108" w:type="dxa"/>
            </w:tcMar>
            <w:vAlign w:val="center"/>
          </w:tcPr>
          <w:p>
            <w:pPr>
              <w:widowControl/>
              <w:wordWrap w:val="0"/>
              <w:spacing w:beforeAutospacing="1" w:afterAutospacing="1"/>
              <w:jc w:val="center"/>
              <w:rPr>
                <w:rFonts w:hint="eastAsia" w:ascii="仿宋" w:hAnsi="仿宋" w:eastAsia="仿宋" w:cs="仿宋"/>
                <w:color w:val="2A2F35"/>
                <w:kern w:val="0"/>
                <w:sz w:val="24"/>
                <w:szCs w:val="24"/>
                <w:highlight w:val="none"/>
                <w:lang w:val="en-US" w:eastAsia="zh-CN"/>
              </w:rPr>
            </w:pPr>
            <w:r>
              <w:rPr>
                <w:rFonts w:hint="eastAsia" w:ascii="仿宋" w:hAnsi="仿宋" w:eastAsia="仿宋" w:cs="仿宋"/>
                <w:color w:val="2A2F35"/>
                <w:kern w:val="0"/>
                <w:sz w:val="24"/>
                <w:szCs w:val="24"/>
                <w:highlight w:val="none"/>
                <w:lang w:val="en-US" w:eastAsia="zh-CN"/>
              </w:rPr>
              <w:t>100%</w:t>
            </w:r>
          </w:p>
        </w:tc>
      </w:tr>
    </w:tbl>
    <w:p>
      <w:pPr>
        <w:widowControl/>
        <w:spacing w:line="576" w:lineRule="exact"/>
        <w:ind w:firstLine="640" w:firstLineChars="200"/>
        <w:jc w:val="left"/>
        <w:rPr>
          <w:rFonts w:hint="eastAsia"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体育课程的总成绩根据课内教学、课外锻炼活动和体质健康情况综合评定。实验、实习、实训、课程设计、毕业设计（论文）等实践课程总成绩的评定标</w:t>
      </w:r>
      <w:r>
        <w:rPr>
          <w:rFonts w:hint="eastAsia" w:ascii="仿宋_GB2312" w:hAnsi="仿宋" w:eastAsia="仿宋_GB2312" w:cs="仿宋"/>
          <w:kern w:val="0"/>
          <w:sz w:val="32"/>
          <w:szCs w:val="32"/>
          <w:highlight w:val="none"/>
        </w:rPr>
        <w:t>准执行学校相应的课程教学管理规定。军事类课程总成绩的评定标准执行学校《学生国防教育及军事训练管理暂行办法》。</w:t>
      </w:r>
    </w:p>
    <w:p>
      <w:pPr>
        <w:widowControl/>
        <w:spacing w:line="576" w:lineRule="exact"/>
        <w:ind w:firstLine="643" w:firstLineChars="200"/>
        <w:jc w:val="left"/>
        <w:rPr>
          <w:rFonts w:hint="eastAsia" w:ascii="仿宋" w:hAnsi="仿宋" w:eastAsia="仿宋" w:cstheme="minorBidi"/>
          <w:sz w:val="32"/>
          <w:szCs w:val="32"/>
          <w:highlight w:val="none"/>
        </w:rPr>
      </w:pPr>
      <w:r>
        <w:rPr>
          <w:rFonts w:hint="eastAsia" w:ascii="仿宋_GB2312" w:hAnsi="仿宋" w:eastAsia="仿宋_GB2312" w:cs="仿宋"/>
          <w:b/>
          <w:bCs/>
          <w:kern w:val="0"/>
          <w:sz w:val="32"/>
          <w:szCs w:val="32"/>
          <w:highlight w:val="none"/>
          <w:lang w:val="en-US" w:eastAsia="zh-CN"/>
        </w:rPr>
        <w:t xml:space="preserve">第十七条 </w:t>
      </w:r>
      <w:r>
        <w:rPr>
          <w:rFonts w:hint="eastAsia" w:ascii="仿宋_GB2312" w:hAnsi="仿宋" w:eastAsia="仿宋_GB2312" w:cs="仿宋"/>
          <w:kern w:val="0"/>
          <w:sz w:val="32"/>
          <w:szCs w:val="32"/>
          <w:highlight w:val="none"/>
          <w:lang w:val="en-US" w:eastAsia="zh-CN"/>
        </w:rPr>
        <w:t xml:space="preserve"> </w:t>
      </w:r>
      <w:r>
        <w:rPr>
          <w:rFonts w:hint="eastAsia" w:ascii="仿宋" w:hAnsi="仿宋" w:eastAsia="仿宋" w:cstheme="minorBidi"/>
          <w:color w:val="auto"/>
          <w:sz w:val="32"/>
          <w:szCs w:val="32"/>
          <w:highlight w:val="none"/>
        </w:rPr>
        <w:t>学生平时成绩由任课教师依据学生的出勤、听课、提问、</w:t>
      </w:r>
      <w:r>
        <w:rPr>
          <w:rFonts w:hint="eastAsia" w:ascii="仿宋" w:hAnsi="仿宋" w:eastAsia="仿宋" w:cstheme="minorBidi"/>
          <w:color w:val="auto"/>
          <w:sz w:val="32"/>
          <w:szCs w:val="32"/>
          <w:highlight w:val="none"/>
          <w:lang w:val="en-US" w:eastAsia="zh-CN"/>
        </w:rPr>
        <w:t>讨论、</w:t>
      </w:r>
      <w:r>
        <w:rPr>
          <w:rFonts w:hint="eastAsia" w:ascii="仿宋" w:hAnsi="仿宋" w:eastAsia="仿宋" w:cstheme="minorBidi"/>
          <w:color w:val="auto"/>
          <w:sz w:val="32"/>
          <w:szCs w:val="32"/>
          <w:highlight w:val="none"/>
        </w:rPr>
        <w:t>作业、实验、平时测验等环节综合评定。</w:t>
      </w:r>
      <w:r>
        <w:rPr>
          <w:rFonts w:hint="eastAsia" w:ascii="仿宋" w:hAnsi="仿宋" w:eastAsia="仿宋" w:cstheme="minorBidi"/>
          <w:color w:val="auto"/>
          <w:sz w:val="32"/>
          <w:szCs w:val="32"/>
          <w:highlight w:val="none"/>
          <w:lang w:val="en-US" w:eastAsia="zh-CN"/>
        </w:rPr>
        <w:t>有</w:t>
      </w:r>
      <w:r>
        <w:rPr>
          <w:rFonts w:hint="eastAsia" w:ascii="仿宋" w:hAnsi="仿宋" w:eastAsia="仿宋" w:cstheme="minorBidi"/>
          <w:color w:val="auto"/>
          <w:sz w:val="32"/>
          <w:szCs w:val="32"/>
          <w:highlight w:val="none"/>
        </w:rPr>
        <w:t>实验学时的课程，实验成绩单独记载，根据占比计入平时</w:t>
      </w:r>
      <w:r>
        <w:rPr>
          <w:rFonts w:hint="eastAsia" w:ascii="仿宋" w:hAnsi="仿宋" w:eastAsia="仿宋" w:cstheme="minorBidi"/>
          <w:sz w:val="32"/>
          <w:szCs w:val="32"/>
          <w:highlight w:val="none"/>
        </w:rPr>
        <w:t>成绩。任课教师在确定学生平时成绩考核方案时，应根据课程特点选定适当环节进行评定，并确定各环节合适的分值，课程平时成绩包含的考核环节及其所占比例</w:t>
      </w:r>
      <w:r>
        <w:rPr>
          <w:rFonts w:hint="eastAsia" w:ascii="仿宋" w:hAnsi="仿宋" w:eastAsia="仿宋" w:cstheme="minorBidi"/>
          <w:sz w:val="32"/>
          <w:szCs w:val="32"/>
          <w:highlight w:val="none"/>
          <w:lang w:val="en-US" w:eastAsia="zh-CN"/>
        </w:rPr>
        <w:t>参考范围</w:t>
      </w:r>
      <w:r>
        <w:rPr>
          <w:rFonts w:hint="eastAsia" w:ascii="仿宋" w:hAnsi="仿宋" w:eastAsia="仿宋" w:cstheme="minorBidi"/>
          <w:sz w:val="32"/>
          <w:szCs w:val="32"/>
          <w:highlight w:val="none"/>
        </w:rPr>
        <w:t>见表</w:t>
      </w:r>
      <w:r>
        <w:rPr>
          <w:rFonts w:hint="eastAsia" w:ascii="仿宋" w:hAnsi="仿宋" w:eastAsia="仿宋" w:cstheme="minorBidi"/>
          <w:sz w:val="32"/>
          <w:szCs w:val="32"/>
          <w:highlight w:val="none"/>
          <w:lang w:val="en-US" w:eastAsia="zh-CN"/>
        </w:rPr>
        <w:t>2</w:t>
      </w:r>
      <w:r>
        <w:rPr>
          <w:rFonts w:hint="eastAsia" w:ascii="仿宋" w:hAnsi="仿宋" w:eastAsia="仿宋" w:cstheme="minorBidi"/>
          <w:sz w:val="32"/>
          <w:szCs w:val="32"/>
          <w:highlight w:val="none"/>
        </w:rPr>
        <w:t>。</w:t>
      </w:r>
    </w:p>
    <w:p>
      <w:pPr>
        <w:widowControl/>
        <w:spacing w:line="576" w:lineRule="exact"/>
        <w:ind w:firstLine="640" w:firstLineChars="200"/>
        <w:jc w:val="left"/>
        <w:rPr>
          <w:rFonts w:hint="eastAsia" w:ascii="仿宋" w:hAnsi="仿宋" w:eastAsia="仿宋" w:cstheme="minorBidi"/>
          <w:color w:val="auto"/>
          <w:sz w:val="32"/>
          <w:szCs w:val="32"/>
          <w:highlight w:val="none"/>
          <w:lang w:val="en-US" w:eastAsia="zh-CN"/>
        </w:rPr>
      </w:pPr>
      <w:r>
        <w:rPr>
          <w:rFonts w:hint="eastAsia" w:ascii="仿宋" w:hAnsi="仿宋" w:eastAsia="仿宋" w:cstheme="minorBidi"/>
          <w:color w:val="auto"/>
          <w:sz w:val="32"/>
          <w:szCs w:val="32"/>
          <w:highlight w:val="none"/>
          <w:lang w:val="en-US" w:eastAsia="zh-CN"/>
        </w:rPr>
        <w:t>任课教师每门课程考勤次数应不少于授课次数的70%；作业以教学单元或章节为单位布置，平均每8理论学时至少1次；总学时不大于24</w:t>
      </w:r>
      <w:bookmarkStart w:id="0" w:name="_GoBack"/>
      <w:bookmarkEnd w:id="0"/>
      <w:r>
        <w:rPr>
          <w:rFonts w:hint="eastAsia" w:ascii="仿宋" w:hAnsi="仿宋" w:eastAsia="仿宋" w:cstheme="minorBidi"/>
          <w:color w:val="auto"/>
          <w:sz w:val="32"/>
          <w:szCs w:val="32"/>
          <w:highlight w:val="none"/>
          <w:lang w:val="en-US" w:eastAsia="zh-CN"/>
        </w:rPr>
        <w:t>学时的课程，可以不进行平时测验。总学时大于24学时且不大于48学时的课程，平时考核环节至少包含1次测验；总学时大于48学时的课程，平时考核环节至少包含2次测验。在线开放课程平时考核环节应包含1-2次测验。</w:t>
      </w:r>
    </w:p>
    <w:p>
      <w:pPr>
        <w:widowControl/>
        <w:spacing w:line="576" w:lineRule="exact"/>
        <w:ind w:left="0" w:leftChars="0" w:firstLine="0" w:firstLineChars="0"/>
        <w:jc w:val="center"/>
        <w:rPr>
          <w:rFonts w:hint="eastAsia" w:ascii="仿宋" w:hAnsi="仿宋" w:eastAsia="仿宋" w:cs="宋体"/>
          <w:b/>
          <w:bCs/>
          <w:color w:val="2A2F35"/>
          <w:kern w:val="0"/>
          <w:sz w:val="24"/>
          <w:highlight w:val="none"/>
        </w:rPr>
      </w:pPr>
      <w:r>
        <w:rPr>
          <w:rFonts w:hint="eastAsia" w:ascii="仿宋" w:hAnsi="仿宋" w:eastAsia="仿宋" w:cs="宋体"/>
          <w:b/>
          <w:bCs/>
          <w:color w:val="2A2F35"/>
          <w:kern w:val="0"/>
          <w:sz w:val="24"/>
          <w:highlight w:val="none"/>
        </w:rPr>
        <w:t>表</w:t>
      </w:r>
      <w:r>
        <w:rPr>
          <w:rFonts w:hint="eastAsia" w:ascii="仿宋" w:hAnsi="仿宋" w:eastAsia="仿宋" w:cs="宋体"/>
          <w:b/>
          <w:bCs/>
          <w:color w:val="2A2F35"/>
          <w:kern w:val="0"/>
          <w:sz w:val="24"/>
          <w:highlight w:val="none"/>
          <w:lang w:val="en-US" w:eastAsia="zh-CN"/>
        </w:rPr>
        <w:t>2</w:t>
      </w:r>
      <w:r>
        <w:rPr>
          <w:rFonts w:hint="eastAsia" w:ascii="仿宋" w:hAnsi="仿宋" w:eastAsia="仿宋" w:cs="宋体"/>
          <w:b/>
          <w:bCs/>
          <w:color w:val="2A2F35"/>
          <w:kern w:val="0"/>
          <w:sz w:val="24"/>
          <w:highlight w:val="none"/>
        </w:rPr>
        <w:t xml:space="preserve"> 课程平时成绩包含的考核环节及其所占比例参考范围表</w:t>
      </w:r>
    </w:p>
    <w:tbl>
      <w:tblPr>
        <w:tblStyle w:val="9"/>
        <w:tblW w:w="8522"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374"/>
        <w:gridCol w:w="1725"/>
        <w:gridCol w:w="2085"/>
        <w:gridCol w:w="1575"/>
        <w:gridCol w:w="176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04" w:hRule="atLeast"/>
        </w:trPr>
        <w:tc>
          <w:tcPr>
            <w:tcW w:w="1374"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Style w:val="12"/>
                <w:rFonts w:hint="eastAsia" w:ascii="仿宋" w:hAnsi="仿宋" w:eastAsia="仿宋" w:cs="仿宋"/>
                <w:color w:val="2A2F35"/>
                <w:sz w:val="24"/>
                <w:szCs w:val="24"/>
                <w:highlight w:val="none"/>
              </w:rPr>
              <w:t>考核环节</w:t>
            </w:r>
          </w:p>
        </w:tc>
        <w:tc>
          <w:tcPr>
            <w:tcW w:w="5385" w:type="dxa"/>
            <w:gridSpan w:val="3"/>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rFonts w:hint="eastAsia" w:ascii="仿宋" w:hAnsi="仿宋" w:eastAsia="仿宋" w:cs="仿宋"/>
                <w:b/>
                <w:bCs/>
                <w:color w:val="2A2F35"/>
                <w:kern w:val="0"/>
                <w:sz w:val="24"/>
                <w:szCs w:val="24"/>
                <w:highlight w:val="none"/>
                <w:lang w:val="en-US" w:eastAsia="zh-CN"/>
              </w:rPr>
            </w:pPr>
            <w:r>
              <w:rPr>
                <w:rFonts w:hint="eastAsia" w:ascii="仿宋" w:hAnsi="仿宋" w:eastAsia="仿宋" w:cs="仿宋"/>
                <w:b/>
                <w:bCs/>
                <w:color w:val="2A2F35"/>
                <w:kern w:val="0"/>
                <w:sz w:val="24"/>
                <w:szCs w:val="24"/>
                <w:highlight w:val="none"/>
                <w:lang w:val="en-US" w:eastAsia="zh-CN"/>
              </w:rPr>
              <w:t>普通课程</w:t>
            </w:r>
          </w:p>
        </w:tc>
        <w:tc>
          <w:tcPr>
            <w:tcW w:w="1763" w:type="dxa"/>
            <w:vMerge w:val="restart"/>
            <w:tcBorders>
              <w:top w:val="single" w:color="auto" w:sz="8" w:space="0"/>
              <w:left w:val="nil"/>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Style w:val="12"/>
                <w:rFonts w:hint="eastAsia" w:ascii="仿宋" w:hAnsi="仿宋" w:eastAsia="仿宋" w:cs="仿宋"/>
                <w:color w:val="2A2F35"/>
                <w:sz w:val="24"/>
                <w:szCs w:val="24"/>
                <w:highlight w:val="none"/>
              </w:rPr>
              <w:t>在线开放课程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54" w:hRule="atLeast"/>
        </w:trPr>
        <w:tc>
          <w:tcPr>
            <w:tcW w:w="1374" w:type="dxa"/>
            <w:vMerge w:val="continue"/>
            <w:tcBorders>
              <w:left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rStyle w:val="12"/>
                <w:rFonts w:hint="eastAsia" w:ascii="仿宋" w:hAnsi="仿宋" w:eastAsia="仿宋" w:cs="仿宋"/>
                <w:color w:val="2A2F35"/>
                <w:sz w:val="24"/>
                <w:szCs w:val="24"/>
                <w:highlight w:val="none"/>
              </w:rPr>
            </w:pPr>
          </w:p>
        </w:tc>
        <w:tc>
          <w:tcPr>
            <w:tcW w:w="172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hint="eastAsia" w:ascii="微软雅黑" w:hAnsi="微软雅黑" w:eastAsia="微软雅黑" w:cs="微软雅黑"/>
                <w:kern w:val="0"/>
                <w:sz w:val="24"/>
                <w:szCs w:val="24"/>
                <w:highlight w:val="none"/>
                <w:lang w:val="en-US" w:eastAsia="zh-CN" w:bidi="ar"/>
              </w:rPr>
            </w:pPr>
            <w:r>
              <w:rPr>
                <w:rStyle w:val="12"/>
                <w:rFonts w:hint="eastAsia" w:ascii="仿宋" w:hAnsi="仿宋" w:eastAsia="仿宋" w:cs="仿宋"/>
                <w:color w:val="2A2F35"/>
                <w:sz w:val="24"/>
                <w:szCs w:val="24"/>
                <w:highlight w:val="none"/>
              </w:rPr>
              <w:t>总学时≤24</w:t>
            </w:r>
          </w:p>
        </w:tc>
        <w:tc>
          <w:tcPr>
            <w:tcW w:w="208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Style w:val="12"/>
                <w:rFonts w:hint="eastAsia" w:ascii="仿宋" w:hAnsi="仿宋" w:eastAsia="仿宋" w:cs="仿宋"/>
                <w:color w:val="2A2F35"/>
                <w:sz w:val="24"/>
                <w:szCs w:val="24"/>
                <w:highlight w:val="none"/>
              </w:rPr>
            </w:pPr>
            <w:r>
              <w:rPr>
                <w:rStyle w:val="12"/>
                <w:rFonts w:hint="eastAsia" w:ascii="仿宋" w:hAnsi="仿宋" w:eastAsia="仿宋" w:cs="仿宋"/>
                <w:color w:val="2A2F35"/>
                <w:sz w:val="24"/>
                <w:szCs w:val="24"/>
                <w:highlight w:val="none"/>
              </w:rPr>
              <w:t>24＜总学时≤48</w:t>
            </w:r>
          </w:p>
        </w:tc>
        <w:tc>
          <w:tcPr>
            <w:tcW w:w="157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hint="eastAsia" w:ascii="微软雅黑" w:hAnsi="微软雅黑" w:eastAsia="微软雅黑" w:cs="微软雅黑"/>
                <w:kern w:val="0"/>
                <w:sz w:val="24"/>
                <w:szCs w:val="24"/>
                <w:highlight w:val="none"/>
                <w:lang w:val="en-US" w:eastAsia="zh-CN" w:bidi="ar"/>
              </w:rPr>
            </w:pPr>
            <w:r>
              <w:rPr>
                <w:rStyle w:val="12"/>
                <w:rFonts w:hint="eastAsia" w:ascii="仿宋" w:hAnsi="仿宋" w:eastAsia="仿宋" w:cs="仿宋"/>
                <w:color w:val="2A2F35"/>
                <w:sz w:val="24"/>
                <w:szCs w:val="24"/>
                <w:highlight w:val="none"/>
              </w:rPr>
              <w:t>总学时＞48</w:t>
            </w:r>
          </w:p>
        </w:tc>
        <w:tc>
          <w:tcPr>
            <w:tcW w:w="1763" w:type="dxa"/>
            <w:vMerge w:val="continue"/>
            <w:tcBorders>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hint="eastAsia" w:ascii="微软雅黑" w:hAnsi="微软雅黑" w:eastAsia="微软雅黑" w:cs="微软雅黑"/>
                <w:kern w:val="0"/>
                <w:sz w:val="24"/>
                <w:szCs w:val="24"/>
                <w:highlight w:val="none"/>
                <w:lang w:val="en-US" w:eastAsia="zh-CN" w:bidi="ar"/>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54" w:hRule="atLeast"/>
        </w:trPr>
        <w:tc>
          <w:tcPr>
            <w:tcW w:w="1374"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rFonts w:hint="eastAsia" w:eastAsia="微软雅黑"/>
                <w:sz w:val="24"/>
                <w:szCs w:val="24"/>
                <w:highlight w:val="none"/>
                <w:lang w:eastAsia="zh-CN"/>
              </w:rPr>
            </w:pPr>
            <w:r>
              <w:rPr>
                <w:rFonts w:hint="eastAsia" w:ascii="仿宋" w:hAnsi="仿宋" w:eastAsia="仿宋" w:cs="仿宋"/>
                <w:color w:val="2A2F35"/>
                <w:sz w:val="24"/>
                <w:szCs w:val="24"/>
                <w:highlight w:val="none"/>
                <w:lang w:val="en-US" w:eastAsia="zh-CN"/>
              </w:rPr>
              <w:t>出勤</w:t>
            </w:r>
          </w:p>
        </w:tc>
        <w:tc>
          <w:tcPr>
            <w:tcW w:w="172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50</w:t>
            </w:r>
            <w:r>
              <w:rPr>
                <w:rFonts w:hint="eastAsia" w:ascii="仿宋" w:hAnsi="仿宋" w:eastAsia="仿宋" w:cs="仿宋"/>
                <w:color w:val="2A2F35"/>
                <w:sz w:val="24"/>
                <w:szCs w:val="24"/>
                <w:highlight w:val="none"/>
              </w:rPr>
              <w:t>%</w:t>
            </w:r>
          </w:p>
        </w:tc>
        <w:tc>
          <w:tcPr>
            <w:tcW w:w="2085" w:type="dxa"/>
            <w:vMerge w:val="restart"/>
            <w:tcBorders>
              <w:top w:val="nil"/>
              <w:left w:val="nil"/>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hint="eastAsia" w:ascii="仿宋" w:hAnsi="仿宋" w:eastAsia="仿宋" w:cs="仿宋"/>
                <w:color w:val="2A2F35"/>
                <w:sz w:val="24"/>
                <w:szCs w:val="24"/>
                <w:highlight w:val="none"/>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45</w:t>
            </w:r>
            <w:r>
              <w:rPr>
                <w:rFonts w:hint="eastAsia" w:ascii="仿宋" w:hAnsi="仿宋" w:eastAsia="仿宋" w:cs="仿宋"/>
                <w:color w:val="2A2F35"/>
                <w:sz w:val="24"/>
                <w:szCs w:val="24"/>
                <w:highlight w:val="none"/>
              </w:rPr>
              <w:t>%</w:t>
            </w:r>
          </w:p>
        </w:tc>
        <w:tc>
          <w:tcPr>
            <w:tcW w:w="157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sz w:val="24"/>
                <w:szCs w:val="24"/>
                <w:highlight w:val="none"/>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40</w:t>
            </w:r>
            <w:r>
              <w:rPr>
                <w:rFonts w:hint="eastAsia" w:ascii="仿宋" w:hAnsi="仿宋" w:eastAsia="仿宋" w:cs="仿宋"/>
                <w:color w:val="2A2F35"/>
                <w:sz w:val="24"/>
                <w:szCs w:val="24"/>
                <w:highlight w:val="none"/>
              </w:rPr>
              <w:t>%</w:t>
            </w:r>
          </w:p>
        </w:tc>
        <w:tc>
          <w:tcPr>
            <w:tcW w:w="1763"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35</w:t>
            </w:r>
            <w:r>
              <w:rPr>
                <w:rFonts w:hint="eastAsia" w:ascii="仿宋" w:hAnsi="仿宋" w:eastAsia="仿宋" w:cs="仿宋"/>
                <w:color w:val="2A2F35"/>
                <w:sz w:val="24"/>
                <w:szCs w:val="24"/>
                <w:highlight w:val="none"/>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54" w:hRule="atLeast"/>
        </w:trPr>
        <w:tc>
          <w:tcPr>
            <w:tcW w:w="1374"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其他环节</w:t>
            </w:r>
          </w:p>
        </w:tc>
        <w:tc>
          <w:tcPr>
            <w:tcW w:w="172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jc w:val="center"/>
              <w:rPr>
                <w:rFonts w:hint="eastAsia" w:ascii="微软雅黑" w:hAnsi="微软雅黑" w:eastAsia="微软雅黑" w:cs="微软雅黑"/>
                <w:color w:val="2A2F35"/>
                <w:sz w:val="24"/>
                <w:szCs w:val="24"/>
                <w:highlight w:val="none"/>
              </w:rPr>
            </w:pPr>
          </w:p>
        </w:tc>
        <w:tc>
          <w:tcPr>
            <w:tcW w:w="2085" w:type="dxa"/>
            <w:vMerge w:val="continue"/>
            <w:tcBorders>
              <w:left w:val="nil"/>
              <w:bottom w:val="single" w:color="auto" w:sz="8" w:space="0"/>
              <w:right w:val="single" w:color="auto" w:sz="8" w:space="0"/>
            </w:tcBorders>
            <w:shd w:val="clear" w:color="auto" w:fill="auto"/>
            <w:tcMar>
              <w:left w:w="108" w:type="dxa"/>
              <w:right w:w="108" w:type="dxa"/>
            </w:tcMar>
            <w:vAlign w:val="center"/>
          </w:tcPr>
          <w:p>
            <w:pPr>
              <w:jc w:val="center"/>
              <w:rPr>
                <w:rFonts w:hint="eastAsia" w:ascii="微软雅黑" w:hAnsi="微软雅黑" w:eastAsia="微软雅黑" w:cs="微软雅黑"/>
                <w:color w:val="2A2F35"/>
                <w:sz w:val="24"/>
                <w:szCs w:val="24"/>
                <w:highlight w:val="none"/>
              </w:rPr>
            </w:pPr>
          </w:p>
        </w:tc>
        <w:tc>
          <w:tcPr>
            <w:tcW w:w="157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jc w:val="center"/>
              <w:rPr>
                <w:rFonts w:hint="eastAsia" w:ascii="微软雅黑" w:hAnsi="微软雅黑" w:eastAsia="微软雅黑" w:cs="微软雅黑"/>
                <w:color w:val="2A2F35"/>
                <w:sz w:val="24"/>
                <w:szCs w:val="24"/>
                <w:highlight w:val="none"/>
              </w:rPr>
            </w:pPr>
          </w:p>
        </w:tc>
        <w:tc>
          <w:tcPr>
            <w:tcW w:w="1763"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jc w:val="center"/>
              <w:rPr>
                <w:rFonts w:hint="eastAsia" w:ascii="微软雅黑" w:hAnsi="微软雅黑" w:eastAsia="微软雅黑" w:cs="微软雅黑"/>
                <w:color w:val="2A2F35"/>
                <w:sz w:val="24"/>
                <w:szCs w:val="24"/>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54" w:hRule="atLeast"/>
        </w:trPr>
        <w:tc>
          <w:tcPr>
            <w:tcW w:w="1374"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作业</w:t>
            </w:r>
          </w:p>
        </w:tc>
        <w:tc>
          <w:tcPr>
            <w:tcW w:w="172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50</w:t>
            </w:r>
            <w:r>
              <w:rPr>
                <w:rFonts w:hint="eastAsia" w:ascii="仿宋" w:hAnsi="仿宋" w:eastAsia="仿宋" w:cs="仿宋"/>
                <w:color w:val="2A2F35"/>
                <w:sz w:val="24"/>
                <w:szCs w:val="24"/>
                <w:highlight w:val="none"/>
              </w:rPr>
              <w:t>%</w:t>
            </w:r>
          </w:p>
        </w:tc>
        <w:tc>
          <w:tcPr>
            <w:tcW w:w="208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hint="eastAsia" w:ascii="微软雅黑" w:hAnsi="微软雅黑" w:eastAsia="微软雅黑" w:cs="微软雅黑"/>
                <w:kern w:val="0"/>
                <w:sz w:val="24"/>
                <w:szCs w:val="24"/>
                <w:highlight w:val="none"/>
                <w:lang w:val="en-US" w:eastAsia="zh-CN" w:bidi="ar"/>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35</w:t>
            </w:r>
            <w:r>
              <w:rPr>
                <w:rFonts w:hint="eastAsia" w:ascii="仿宋" w:hAnsi="仿宋" w:eastAsia="仿宋" w:cs="仿宋"/>
                <w:color w:val="2A2F35"/>
                <w:sz w:val="24"/>
                <w:szCs w:val="24"/>
                <w:highlight w:val="none"/>
              </w:rPr>
              <w:t>%</w:t>
            </w:r>
          </w:p>
        </w:tc>
        <w:tc>
          <w:tcPr>
            <w:tcW w:w="157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ascii="微软雅黑" w:hAnsi="微软雅黑" w:eastAsia="微软雅黑" w:cs="微软雅黑"/>
                <w:kern w:val="0"/>
                <w:sz w:val="24"/>
                <w:szCs w:val="24"/>
                <w:highlight w:val="none"/>
                <w:lang w:val="en-US" w:eastAsia="zh-CN" w:bidi="ar"/>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35</w:t>
            </w:r>
            <w:r>
              <w:rPr>
                <w:rFonts w:hint="eastAsia" w:ascii="仿宋" w:hAnsi="仿宋" w:eastAsia="仿宋" w:cs="仿宋"/>
                <w:color w:val="2A2F35"/>
                <w:sz w:val="24"/>
                <w:szCs w:val="24"/>
                <w:highlight w:val="none"/>
              </w:rPr>
              <w:t>%</w:t>
            </w:r>
          </w:p>
        </w:tc>
        <w:tc>
          <w:tcPr>
            <w:tcW w:w="176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40</w:t>
            </w:r>
            <w:r>
              <w:rPr>
                <w:rFonts w:hint="eastAsia" w:ascii="仿宋" w:hAnsi="仿宋" w:eastAsia="仿宋" w:cs="仿宋"/>
                <w:color w:val="2A2F35"/>
                <w:sz w:val="24"/>
                <w:szCs w:val="24"/>
                <w:highlight w:val="none"/>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54" w:hRule="atLeast"/>
        </w:trPr>
        <w:tc>
          <w:tcPr>
            <w:tcW w:w="1374"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平时测验</w:t>
            </w:r>
          </w:p>
        </w:tc>
        <w:tc>
          <w:tcPr>
            <w:tcW w:w="172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rFonts w:hint="default" w:eastAsia="微软雅黑"/>
                <w:sz w:val="24"/>
                <w:szCs w:val="24"/>
                <w:highlight w:val="none"/>
                <w:lang w:val="en-US" w:eastAsia="zh-CN"/>
              </w:rPr>
            </w:pPr>
            <w:r>
              <w:rPr>
                <w:rFonts w:hint="eastAsia" w:ascii="仿宋" w:hAnsi="仿宋" w:eastAsia="仿宋" w:cs="仿宋"/>
                <w:color w:val="2A2F35"/>
                <w:sz w:val="24"/>
                <w:szCs w:val="24"/>
                <w:highlight w:val="none"/>
                <w:lang w:val="en-US" w:eastAsia="zh-CN"/>
              </w:rPr>
              <w:t>--</w:t>
            </w:r>
          </w:p>
        </w:tc>
        <w:tc>
          <w:tcPr>
            <w:tcW w:w="208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hint="eastAsia" w:ascii="微软雅黑" w:hAnsi="微软雅黑" w:eastAsia="微软雅黑" w:cs="微软雅黑"/>
                <w:kern w:val="0"/>
                <w:sz w:val="24"/>
                <w:szCs w:val="24"/>
                <w:highlight w:val="none"/>
                <w:lang w:val="en-US" w:eastAsia="zh-CN" w:bidi="ar"/>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20</w:t>
            </w:r>
            <w:r>
              <w:rPr>
                <w:rFonts w:hint="eastAsia" w:ascii="仿宋" w:hAnsi="仿宋" w:eastAsia="仿宋" w:cs="仿宋"/>
                <w:color w:val="2A2F35"/>
                <w:sz w:val="24"/>
                <w:szCs w:val="24"/>
                <w:highlight w:val="none"/>
              </w:rPr>
              <w:t>%</w:t>
            </w:r>
          </w:p>
        </w:tc>
        <w:tc>
          <w:tcPr>
            <w:tcW w:w="157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ind w:left="0" w:leftChars="0" w:right="0" w:rightChars="0"/>
              <w:jc w:val="center"/>
              <w:rPr>
                <w:rFonts w:ascii="微软雅黑" w:hAnsi="微软雅黑" w:eastAsia="微软雅黑" w:cs="微软雅黑"/>
                <w:kern w:val="0"/>
                <w:sz w:val="24"/>
                <w:szCs w:val="24"/>
                <w:highlight w:val="none"/>
                <w:lang w:val="en-US" w:eastAsia="zh-CN" w:bidi="ar"/>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25</w:t>
            </w:r>
            <w:r>
              <w:rPr>
                <w:rFonts w:hint="eastAsia" w:ascii="仿宋" w:hAnsi="仿宋" w:eastAsia="仿宋" w:cs="仿宋"/>
                <w:color w:val="2A2F35"/>
                <w:sz w:val="24"/>
                <w:szCs w:val="24"/>
                <w:highlight w:val="none"/>
              </w:rPr>
              <w:t>%</w:t>
            </w:r>
          </w:p>
        </w:tc>
        <w:tc>
          <w:tcPr>
            <w:tcW w:w="176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6"/>
              <w:keepNext w:val="0"/>
              <w:keepLines w:val="0"/>
              <w:widowControl/>
              <w:suppressLineNumbers w:val="0"/>
              <w:wordWrap w:val="0"/>
              <w:spacing w:line="24" w:lineRule="atLeast"/>
              <w:jc w:val="center"/>
              <w:rPr>
                <w:sz w:val="24"/>
                <w:szCs w:val="24"/>
                <w:highlight w:val="none"/>
              </w:rPr>
            </w:pPr>
            <w:r>
              <w:rPr>
                <w:rFonts w:hint="eastAsia" w:ascii="仿宋" w:hAnsi="仿宋" w:eastAsia="仿宋" w:cs="仿宋"/>
                <w:color w:val="2A2F35"/>
                <w:sz w:val="24"/>
                <w:szCs w:val="24"/>
                <w:highlight w:val="none"/>
              </w:rPr>
              <w:t>≤</w:t>
            </w:r>
            <w:r>
              <w:rPr>
                <w:rFonts w:hint="eastAsia" w:ascii="仿宋" w:hAnsi="仿宋" w:eastAsia="仿宋" w:cs="仿宋"/>
                <w:color w:val="2A2F35"/>
                <w:sz w:val="24"/>
                <w:szCs w:val="24"/>
                <w:highlight w:val="none"/>
                <w:lang w:val="en-US" w:eastAsia="zh-CN"/>
              </w:rPr>
              <w:t>25</w:t>
            </w:r>
            <w:r>
              <w:rPr>
                <w:rFonts w:hint="eastAsia" w:ascii="仿宋" w:hAnsi="仿宋" w:eastAsia="仿宋" w:cs="仿宋"/>
                <w:color w:val="2A2F35"/>
                <w:sz w:val="24"/>
                <w:szCs w:val="24"/>
                <w:highlight w:val="none"/>
              </w:rPr>
              <w:t>%</w:t>
            </w:r>
          </w:p>
        </w:tc>
      </w:tr>
    </w:tbl>
    <w:p>
      <w:pPr>
        <w:spacing w:line="240" w:lineRule="auto"/>
        <w:ind w:firstLine="470" w:firstLineChars="196"/>
        <w:rPr>
          <w:rFonts w:ascii="仿宋" w:hAnsi="仿宋" w:eastAsia="仿宋" w:cstheme="minorBidi"/>
          <w:sz w:val="32"/>
          <w:szCs w:val="32"/>
          <w:highlight w:val="none"/>
        </w:rPr>
      </w:pPr>
      <w:r>
        <w:rPr>
          <w:rFonts w:hint="eastAsia" w:ascii="仿宋" w:hAnsi="仿宋" w:eastAsia="仿宋" w:cs="宋体"/>
          <w:color w:val="2A2F35"/>
          <w:kern w:val="0"/>
          <w:sz w:val="24"/>
          <w:highlight w:val="none"/>
        </w:rPr>
        <w:t>备注：表中数据为平时各考核环节成绩占课程</w:t>
      </w:r>
      <w:r>
        <w:rPr>
          <w:rFonts w:hint="eastAsia" w:ascii="仿宋" w:hAnsi="仿宋" w:eastAsia="仿宋" w:cs="宋体"/>
          <w:color w:val="2A2F35"/>
          <w:kern w:val="0"/>
          <w:sz w:val="24"/>
          <w:highlight w:val="none"/>
          <w:lang w:val="en-US" w:eastAsia="zh-CN"/>
        </w:rPr>
        <w:t>平时</w:t>
      </w:r>
      <w:r>
        <w:rPr>
          <w:rFonts w:hint="eastAsia" w:ascii="仿宋" w:hAnsi="仿宋" w:eastAsia="仿宋" w:cs="宋体"/>
          <w:color w:val="2A2F35"/>
          <w:kern w:val="0"/>
          <w:sz w:val="24"/>
          <w:highlight w:val="none"/>
        </w:rPr>
        <w:t>总成绩的比例；其他环节为根据课程特点设置的其他考核环节，如：听课、提问、</w:t>
      </w:r>
      <w:r>
        <w:rPr>
          <w:rFonts w:hint="eastAsia" w:ascii="仿宋" w:hAnsi="仿宋" w:eastAsia="仿宋" w:cs="宋体"/>
          <w:color w:val="2A2F35"/>
          <w:kern w:val="0"/>
          <w:sz w:val="24"/>
          <w:highlight w:val="none"/>
          <w:lang w:val="en-US" w:eastAsia="zh-CN"/>
        </w:rPr>
        <w:t>讨论、</w:t>
      </w:r>
      <w:r>
        <w:rPr>
          <w:rFonts w:hint="eastAsia" w:ascii="仿宋" w:hAnsi="仿宋" w:eastAsia="仿宋" w:cs="宋体"/>
          <w:color w:val="2A2F35"/>
          <w:kern w:val="0"/>
          <w:sz w:val="24"/>
          <w:highlight w:val="none"/>
        </w:rPr>
        <w:t>实验。</w:t>
      </w:r>
    </w:p>
    <w:p>
      <w:pPr>
        <w:spacing w:line="576" w:lineRule="exact"/>
        <w:ind w:firstLine="643" w:firstLineChars="200"/>
        <w:rPr>
          <w:rFonts w:ascii="仿宋" w:hAnsi="仿宋" w:eastAsia="仿宋" w:cstheme="minorBidi"/>
          <w:sz w:val="32"/>
          <w:szCs w:val="32"/>
          <w:highlight w:val="none"/>
        </w:rPr>
      </w:pPr>
      <w:r>
        <w:rPr>
          <w:rFonts w:hint="eastAsia" w:ascii="仿宋_GB2312" w:hAnsi="楷体" w:eastAsia="仿宋_GB2312" w:cs="仿宋"/>
          <w:b/>
          <w:bCs/>
          <w:kern w:val="0"/>
          <w:sz w:val="32"/>
          <w:szCs w:val="32"/>
          <w:highlight w:val="none"/>
        </w:rPr>
        <w:t>第十八条</w:t>
      </w:r>
      <w:r>
        <w:rPr>
          <w:rFonts w:hint="eastAsia" w:ascii="仿宋" w:hAnsi="仿宋" w:eastAsia="仿宋" w:cstheme="minorBidi"/>
          <w:sz w:val="32"/>
          <w:szCs w:val="32"/>
          <w:highlight w:val="none"/>
        </w:rPr>
        <w:tab/>
      </w:r>
      <w:r>
        <w:rPr>
          <w:rFonts w:hint="eastAsia" w:ascii="仿宋" w:hAnsi="仿宋" w:eastAsia="仿宋" w:cstheme="minorBidi"/>
          <w:sz w:val="32"/>
          <w:szCs w:val="32"/>
          <w:highlight w:val="none"/>
        </w:rPr>
        <w:t xml:space="preserve"> 课程平时成绩评定与考核方案及实践环节考核评价标准应与教学大纲考核标准要求一致，任课教师在开课前须确定</w:t>
      </w:r>
      <w:r>
        <w:rPr>
          <w:rFonts w:hint="eastAsia" w:ascii="仿宋" w:hAnsi="仿宋" w:eastAsia="仿宋" w:cstheme="minorBidi"/>
          <w:sz w:val="32"/>
          <w:szCs w:val="32"/>
          <w:highlight w:val="none"/>
          <w:lang w:val="en-US" w:eastAsia="zh-CN"/>
        </w:rPr>
        <w:t>所授课程各环节</w:t>
      </w:r>
      <w:r>
        <w:rPr>
          <w:rFonts w:hint="eastAsia" w:ascii="仿宋" w:hAnsi="仿宋" w:eastAsia="仿宋" w:cstheme="minorBidi"/>
          <w:sz w:val="32"/>
          <w:szCs w:val="32"/>
          <w:highlight w:val="none"/>
        </w:rPr>
        <w:t>占比，填写完成《课程平时成绩评定与考核方案》，经开课教研室主任审核签字后方可执行。</w:t>
      </w:r>
    </w:p>
    <w:p>
      <w:pPr>
        <w:spacing w:line="576" w:lineRule="exact"/>
        <w:ind w:firstLine="630" w:firstLineChars="196"/>
        <w:rPr>
          <w:rFonts w:ascii="仿宋" w:hAnsi="仿宋" w:eastAsia="仿宋" w:cstheme="minorBidi"/>
          <w:sz w:val="32"/>
          <w:szCs w:val="32"/>
          <w:highlight w:val="none"/>
        </w:rPr>
      </w:pPr>
      <w:r>
        <w:rPr>
          <w:rFonts w:hint="eastAsia" w:ascii="仿宋_GB2312" w:hAnsi="楷体" w:eastAsia="仿宋_GB2312" w:cs="仿宋"/>
          <w:b/>
          <w:bCs/>
          <w:kern w:val="0"/>
          <w:sz w:val="32"/>
          <w:szCs w:val="32"/>
          <w:highlight w:val="none"/>
        </w:rPr>
        <w:t>第十九条</w:t>
      </w:r>
      <w:r>
        <w:rPr>
          <w:rFonts w:hint="eastAsia" w:ascii="仿宋" w:hAnsi="仿宋" w:eastAsia="仿宋" w:cstheme="minorBidi"/>
          <w:sz w:val="32"/>
          <w:szCs w:val="32"/>
          <w:highlight w:val="none"/>
        </w:rPr>
        <w:tab/>
      </w:r>
      <w:r>
        <w:rPr>
          <w:rFonts w:hint="eastAsia" w:ascii="仿宋" w:hAnsi="仿宋" w:eastAsia="仿宋" w:cstheme="minorBidi"/>
          <w:sz w:val="32"/>
          <w:szCs w:val="32"/>
          <w:highlight w:val="none"/>
        </w:rPr>
        <w:t xml:space="preserve"> 任课教师需要在第一次授课时向学生公布该门课程平时成绩评定与考核方案，包括平时成绩占总成绩的比例、平时考核环节、考核标准等。</w:t>
      </w:r>
      <w:r>
        <w:rPr>
          <w:rFonts w:hint="eastAsia" w:ascii="仿宋" w:hAnsi="仿宋" w:eastAsia="仿宋" w:cstheme="minorBidi"/>
          <w:sz w:val="32"/>
          <w:szCs w:val="32"/>
          <w:highlight w:val="none"/>
          <w:lang w:val="en-US" w:eastAsia="zh-CN"/>
        </w:rPr>
        <w:t>教师</w:t>
      </w:r>
      <w:r>
        <w:rPr>
          <w:rFonts w:hint="eastAsia" w:ascii="仿宋" w:hAnsi="仿宋" w:eastAsia="仿宋" w:cstheme="minorBidi"/>
          <w:sz w:val="32"/>
          <w:szCs w:val="32"/>
          <w:highlight w:val="none"/>
        </w:rPr>
        <w:t>应在《教师工作手册》中认真做好学生平时成绩各评定因素的原始记录，并客观真实的评定学生平时成绩。</w:t>
      </w:r>
    </w:p>
    <w:p>
      <w:pPr>
        <w:spacing w:line="576" w:lineRule="exact"/>
        <w:ind w:firstLine="643" w:firstLineChars="200"/>
        <w:rPr>
          <w:rFonts w:ascii="仿宋" w:hAnsi="仿宋" w:eastAsia="仿宋" w:cstheme="minorBidi"/>
          <w:sz w:val="32"/>
          <w:szCs w:val="32"/>
          <w:highlight w:val="none"/>
        </w:rPr>
      </w:pPr>
      <w:r>
        <w:rPr>
          <w:rFonts w:hint="eastAsia" w:ascii="仿宋_GB2312" w:hAnsi="楷体" w:eastAsia="仿宋_GB2312" w:cs="仿宋"/>
          <w:b/>
          <w:bCs/>
          <w:kern w:val="0"/>
          <w:sz w:val="32"/>
          <w:szCs w:val="32"/>
          <w:highlight w:val="none"/>
        </w:rPr>
        <w:t>第二十条</w:t>
      </w:r>
      <w:r>
        <w:rPr>
          <w:rFonts w:hint="eastAsia" w:ascii="楷体" w:hAnsi="楷体" w:eastAsia="楷体" w:cstheme="minorBidi"/>
          <w:b/>
          <w:sz w:val="32"/>
          <w:szCs w:val="32"/>
          <w:highlight w:val="none"/>
        </w:rPr>
        <w:tab/>
      </w:r>
      <w:r>
        <w:rPr>
          <w:rFonts w:hint="eastAsia" w:ascii="楷体" w:hAnsi="楷体" w:eastAsia="楷体" w:cstheme="minorBidi"/>
          <w:b/>
          <w:sz w:val="32"/>
          <w:szCs w:val="32"/>
          <w:highlight w:val="none"/>
        </w:rPr>
        <w:t xml:space="preserve"> </w:t>
      </w:r>
      <w:r>
        <w:rPr>
          <w:rFonts w:hint="eastAsia" w:ascii="仿宋" w:hAnsi="仿宋" w:eastAsia="仿宋" w:cstheme="minorBidi"/>
          <w:sz w:val="32"/>
          <w:szCs w:val="32"/>
          <w:highlight w:val="none"/>
        </w:rPr>
        <w:t>任课教师要在课程结束后一周内向学生公布平时成绩并进行公示，若学生对平时成绩有异议，可向任课教师提出书面申请，若仍有异议，向所在教学单位提出申请解决。公示结束，任课教师</w:t>
      </w:r>
      <w:r>
        <w:rPr>
          <w:rFonts w:hint="eastAsia" w:ascii="仿宋" w:hAnsi="仿宋" w:eastAsia="仿宋" w:cstheme="minorBidi"/>
          <w:sz w:val="32"/>
          <w:szCs w:val="32"/>
          <w:highlight w:val="none"/>
          <w:lang w:val="en-US" w:eastAsia="zh-CN"/>
        </w:rPr>
        <w:t>在</w:t>
      </w:r>
      <w:r>
        <w:rPr>
          <w:rFonts w:hint="eastAsia" w:ascii="仿宋" w:hAnsi="仿宋" w:eastAsia="仿宋" w:cstheme="minorBidi"/>
          <w:sz w:val="32"/>
          <w:szCs w:val="32"/>
          <w:highlight w:val="none"/>
        </w:rPr>
        <w:t>课程考试前一周</w:t>
      </w:r>
      <w:r>
        <w:rPr>
          <w:rFonts w:hint="eastAsia" w:ascii="仿宋" w:hAnsi="仿宋" w:eastAsia="仿宋" w:cstheme="minorBidi"/>
          <w:sz w:val="32"/>
          <w:szCs w:val="32"/>
          <w:highlight w:val="none"/>
          <w:lang w:val="en-US" w:eastAsia="zh-CN"/>
        </w:rPr>
        <w:t>将</w:t>
      </w:r>
      <w:r>
        <w:rPr>
          <w:rFonts w:hint="eastAsia" w:ascii="仿宋" w:hAnsi="仿宋" w:eastAsia="仿宋" w:cstheme="minorBidi"/>
          <w:sz w:val="32"/>
          <w:szCs w:val="32"/>
          <w:highlight w:val="none"/>
        </w:rPr>
        <w:t>平台汇总的平时成绩部分打印报表，签字后交到课程</w:t>
      </w:r>
      <w:r>
        <w:rPr>
          <w:rFonts w:hint="eastAsia" w:ascii="仿宋" w:hAnsi="仿宋" w:eastAsia="仿宋" w:cstheme="minorBidi"/>
          <w:sz w:val="32"/>
          <w:szCs w:val="32"/>
          <w:highlight w:val="none"/>
          <w:lang w:val="en-US" w:eastAsia="zh-CN"/>
        </w:rPr>
        <w:t>开课</w:t>
      </w:r>
      <w:r>
        <w:rPr>
          <w:rFonts w:hint="eastAsia" w:ascii="仿宋" w:hAnsi="仿宋" w:eastAsia="仿宋" w:cstheme="minorBidi"/>
          <w:sz w:val="32"/>
          <w:szCs w:val="32"/>
          <w:highlight w:val="none"/>
        </w:rPr>
        <w:t>单位</w:t>
      </w:r>
      <w:r>
        <w:rPr>
          <w:rFonts w:hint="eastAsia" w:ascii="仿宋" w:hAnsi="仿宋" w:eastAsia="仿宋" w:cstheme="minorBidi"/>
          <w:sz w:val="32"/>
          <w:szCs w:val="32"/>
          <w:highlight w:val="none"/>
          <w:lang w:eastAsia="zh-CN"/>
        </w:rPr>
        <w:t>，</w:t>
      </w:r>
      <w:r>
        <w:rPr>
          <w:rFonts w:hint="eastAsia" w:ascii="仿宋" w:hAnsi="仿宋" w:eastAsia="仿宋" w:cstheme="minorBidi"/>
          <w:sz w:val="32"/>
          <w:szCs w:val="32"/>
          <w:highlight w:val="none"/>
        </w:rPr>
        <w:t>并录入教务</w:t>
      </w:r>
      <w:r>
        <w:rPr>
          <w:rFonts w:hint="eastAsia" w:ascii="仿宋" w:hAnsi="仿宋" w:eastAsia="仿宋" w:cstheme="minorBidi"/>
          <w:sz w:val="32"/>
          <w:szCs w:val="32"/>
          <w:highlight w:val="none"/>
          <w:lang w:val="en-US" w:eastAsia="zh-CN"/>
        </w:rPr>
        <w:t>管理</w:t>
      </w:r>
      <w:r>
        <w:rPr>
          <w:rFonts w:hint="eastAsia" w:ascii="仿宋" w:hAnsi="仿宋" w:eastAsia="仿宋" w:cstheme="minorBidi"/>
          <w:sz w:val="32"/>
          <w:szCs w:val="32"/>
          <w:highlight w:val="none"/>
        </w:rPr>
        <w:t>系统。期末考试后，平时成绩不得更改。</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第二十一条</w:t>
      </w:r>
      <w:r>
        <w:rPr>
          <w:rFonts w:hint="eastAsia" w:ascii="仿宋" w:hAnsi="仿宋" w:eastAsia="仿宋" w:cstheme="minorBidi"/>
          <w:sz w:val="32"/>
          <w:szCs w:val="32"/>
          <w:highlight w:val="none"/>
        </w:rPr>
        <w:tab/>
      </w:r>
      <w:r>
        <w:rPr>
          <w:rFonts w:hint="eastAsia" w:ascii="仿宋" w:hAnsi="仿宋" w:eastAsia="仿宋" w:cstheme="minorBidi"/>
          <w:sz w:val="32"/>
          <w:szCs w:val="32"/>
          <w:highlight w:val="none"/>
        </w:rPr>
        <w:t xml:space="preserve"> 课堂考勤和课堂秩序监控是教师的基本职责，全体教师应认真履行。对经常违反课堂纪律的学生，应给予批评和教育。对平时成绩有可能被评定为不合格的学生，应及时提出警示。</w:t>
      </w:r>
    </w:p>
    <w:p>
      <w:pPr>
        <w:widowControl/>
        <w:spacing w:line="576" w:lineRule="exact"/>
        <w:ind w:firstLine="643" w:firstLineChars="200"/>
        <w:jc w:val="left"/>
        <w:rPr>
          <w:rFonts w:ascii="仿宋_GB2312" w:hAnsi="仿宋" w:eastAsia="仿宋_GB2312" w:cs="仿宋"/>
          <w:bCs/>
          <w:kern w:val="0"/>
          <w:sz w:val="32"/>
          <w:szCs w:val="32"/>
          <w:highlight w:val="none"/>
        </w:rPr>
      </w:pPr>
      <w:r>
        <w:rPr>
          <w:rFonts w:hint="eastAsia" w:ascii="仿宋_GB2312" w:hAnsi="楷体" w:eastAsia="仿宋_GB2312" w:cs="仿宋"/>
          <w:b/>
          <w:bCs/>
          <w:kern w:val="0"/>
          <w:sz w:val="32"/>
          <w:szCs w:val="32"/>
          <w:highlight w:val="none"/>
        </w:rPr>
        <w:t>第二十</w:t>
      </w:r>
      <w:r>
        <w:rPr>
          <w:rFonts w:hint="eastAsia" w:ascii="仿宋_GB2312" w:hAnsi="楷体" w:eastAsia="仿宋_GB2312" w:cs="仿宋"/>
          <w:b/>
          <w:bCs/>
          <w:kern w:val="0"/>
          <w:sz w:val="32"/>
          <w:szCs w:val="32"/>
          <w:highlight w:val="none"/>
          <w:lang w:val="en-US" w:eastAsia="zh-CN"/>
        </w:rPr>
        <w:t>二</w:t>
      </w:r>
      <w:r>
        <w:rPr>
          <w:rFonts w:hint="eastAsia" w:ascii="仿宋_GB2312" w:hAnsi="楷体" w:eastAsia="仿宋_GB2312" w:cs="仿宋"/>
          <w:b/>
          <w:bCs/>
          <w:kern w:val="0"/>
          <w:sz w:val="32"/>
          <w:szCs w:val="32"/>
          <w:highlight w:val="none"/>
        </w:rPr>
        <w:t>条</w:t>
      </w:r>
      <w:r>
        <w:rPr>
          <w:rFonts w:hint="eastAsia" w:ascii="仿宋_GB2312" w:hAnsi="仿宋" w:eastAsia="仿宋_GB2312" w:cs="仿宋"/>
          <w:bCs/>
          <w:kern w:val="0"/>
          <w:sz w:val="32"/>
          <w:szCs w:val="32"/>
          <w:highlight w:val="none"/>
        </w:rPr>
        <w:t xml:space="preserve">  取消考核资格的学生，以考试方式进行考核的课程期末成绩记为0分，总成绩结合平时成绩按相应比例进行折算，以考查方式进行考核的课程总成绩评定为不及格。</w:t>
      </w:r>
    </w:p>
    <w:p>
      <w:pPr>
        <w:widowControl/>
        <w:spacing w:line="576" w:lineRule="exact"/>
        <w:ind w:firstLine="643" w:firstLineChars="200"/>
        <w:jc w:val="left"/>
        <w:rPr>
          <w:rFonts w:ascii="仿宋_GB2312" w:hAnsi="仿宋" w:eastAsia="仿宋_GB2312" w:cs="仿宋"/>
          <w:bCs/>
          <w:kern w:val="0"/>
          <w:sz w:val="32"/>
          <w:szCs w:val="32"/>
          <w:highlight w:val="none"/>
        </w:rPr>
      </w:pPr>
      <w:r>
        <w:rPr>
          <w:rFonts w:hint="eastAsia" w:ascii="仿宋_GB2312" w:hAnsi="楷体" w:eastAsia="仿宋_GB2312" w:cs="仿宋"/>
          <w:b/>
          <w:bCs/>
          <w:kern w:val="0"/>
          <w:sz w:val="32"/>
          <w:szCs w:val="32"/>
          <w:highlight w:val="none"/>
        </w:rPr>
        <w:t>第二十</w:t>
      </w:r>
      <w:r>
        <w:rPr>
          <w:rFonts w:hint="eastAsia" w:ascii="仿宋_GB2312" w:hAnsi="楷体" w:eastAsia="仿宋_GB2312" w:cs="仿宋"/>
          <w:b/>
          <w:bCs/>
          <w:kern w:val="0"/>
          <w:sz w:val="32"/>
          <w:szCs w:val="32"/>
          <w:highlight w:val="none"/>
          <w:lang w:val="en-US" w:eastAsia="zh-CN"/>
        </w:rPr>
        <w:t>三</w:t>
      </w:r>
      <w:r>
        <w:rPr>
          <w:rFonts w:hint="eastAsia" w:ascii="仿宋_GB2312" w:hAnsi="楷体" w:eastAsia="仿宋_GB2312" w:cs="仿宋"/>
          <w:b/>
          <w:bCs/>
          <w:kern w:val="0"/>
          <w:sz w:val="32"/>
          <w:szCs w:val="32"/>
          <w:highlight w:val="none"/>
        </w:rPr>
        <w:t>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bCs/>
          <w:kern w:val="0"/>
          <w:sz w:val="32"/>
          <w:szCs w:val="32"/>
          <w:highlight w:val="none"/>
        </w:rPr>
        <w:t>无故不参加课程考试的学生，视为缺考，期末成绩记为0分，总成绩结合平时成绩按相应比例综合评定。</w:t>
      </w:r>
    </w:p>
    <w:p>
      <w:pPr>
        <w:widowControl/>
        <w:spacing w:line="576" w:lineRule="exact"/>
        <w:ind w:firstLine="643" w:firstLineChars="200"/>
        <w:jc w:val="left"/>
        <w:rPr>
          <w:rFonts w:ascii="仿宋_GB2312" w:hAnsi="仿宋" w:eastAsia="仿宋_GB2312" w:cs="仿宋"/>
          <w:b/>
          <w:bCs/>
          <w:kern w:val="0"/>
          <w:sz w:val="32"/>
          <w:szCs w:val="32"/>
          <w:highlight w:val="none"/>
        </w:rPr>
      </w:pPr>
      <w:r>
        <w:rPr>
          <w:rFonts w:hint="eastAsia" w:ascii="仿宋_GB2312" w:hAnsi="楷体" w:eastAsia="仿宋_GB2312" w:cs="仿宋"/>
          <w:b/>
          <w:bCs/>
          <w:kern w:val="0"/>
          <w:sz w:val="32"/>
          <w:szCs w:val="32"/>
          <w:highlight w:val="none"/>
        </w:rPr>
        <w:t>第二十</w:t>
      </w:r>
      <w:r>
        <w:rPr>
          <w:rFonts w:hint="eastAsia" w:ascii="仿宋_GB2312" w:hAnsi="楷体" w:eastAsia="仿宋_GB2312" w:cs="仿宋"/>
          <w:b/>
          <w:bCs/>
          <w:kern w:val="0"/>
          <w:sz w:val="32"/>
          <w:szCs w:val="32"/>
          <w:highlight w:val="none"/>
          <w:lang w:val="en-US" w:eastAsia="zh-CN"/>
        </w:rPr>
        <w:t>四</w:t>
      </w:r>
      <w:r>
        <w:rPr>
          <w:rFonts w:hint="eastAsia" w:ascii="仿宋_GB2312" w:hAnsi="楷体" w:eastAsia="仿宋_GB2312" w:cs="仿宋"/>
          <w:b/>
          <w:bCs/>
          <w:kern w:val="0"/>
          <w:sz w:val="32"/>
          <w:szCs w:val="32"/>
          <w:highlight w:val="none"/>
        </w:rPr>
        <w:t>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bCs/>
          <w:kern w:val="0"/>
          <w:sz w:val="32"/>
          <w:szCs w:val="32"/>
          <w:highlight w:val="none"/>
        </w:rPr>
        <w:t>课程缓考总成绩评定办法与期末考核一致。</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第二十</w:t>
      </w:r>
      <w:r>
        <w:rPr>
          <w:rFonts w:hint="eastAsia" w:ascii="仿宋_GB2312" w:hAnsi="楷体" w:eastAsia="仿宋_GB2312" w:cs="仿宋"/>
          <w:b/>
          <w:bCs/>
          <w:kern w:val="0"/>
          <w:sz w:val="32"/>
          <w:szCs w:val="32"/>
          <w:highlight w:val="none"/>
          <w:lang w:val="en-US" w:eastAsia="zh-CN"/>
        </w:rPr>
        <w:t>五</w:t>
      </w:r>
      <w:r>
        <w:rPr>
          <w:rFonts w:hint="eastAsia" w:ascii="仿宋_GB2312" w:hAnsi="楷体" w:eastAsia="仿宋_GB2312" w:cs="仿宋"/>
          <w:b/>
          <w:bCs/>
          <w:kern w:val="0"/>
          <w:sz w:val="32"/>
          <w:szCs w:val="32"/>
          <w:highlight w:val="none"/>
        </w:rPr>
        <w:t>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 xml:space="preserve"> 课程补考总成绩即补考卷面成绩。</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第二十</w:t>
      </w:r>
      <w:r>
        <w:rPr>
          <w:rFonts w:hint="eastAsia" w:ascii="仿宋_GB2312" w:hAnsi="楷体" w:eastAsia="仿宋_GB2312" w:cs="仿宋"/>
          <w:b/>
          <w:bCs/>
          <w:kern w:val="0"/>
          <w:sz w:val="32"/>
          <w:szCs w:val="32"/>
          <w:highlight w:val="none"/>
          <w:lang w:val="en-US" w:eastAsia="zh-CN"/>
        </w:rPr>
        <w:t>六</w:t>
      </w:r>
      <w:r>
        <w:rPr>
          <w:rFonts w:hint="eastAsia" w:ascii="仿宋_GB2312" w:hAnsi="楷体" w:eastAsia="仿宋_GB2312" w:cs="仿宋"/>
          <w:b/>
          <w:bCs/>
          <w:kern w:val="0"/>
          <w:sz w:val="32"/>
          <w:szCs w:val="32"/>
          <w:highlight w:val="none"/>
        </w:rPr>
        <w:t>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bCs/>
          <w:kern w:val="0"/>
          <w:sz w:val="32"/>
          <w:szCs w:val="32"/>
          <w:highlight w:val="none"/>
        </w:rPr>
        <w:t>课程重修总成绩评定办法与期末考核一致。</w:t>
      </w:r>
      <w:r>
        <w:rPr>
          <w:rFonts w:hint="eastAsia" w:ascii="仿宋_GB2312" w:hAnsi="仿宋" w:eastAsia="仿宋_GB2312" w:cs="仿宋"/>
          <w:kern w:val="0"/>
          <w:sz w:val="32"/>
          <w:szCs w:val="32"/>
          <w:highlight w:val="none"/>
        </w:rPr>
        <w:t>课程考核已通过，但本人认为成绩不理想而重修的学生，课程总成绩按高分记载。</w:t>
      </w:r>
    </w:p>
    <w:p>
      <w:pPr>
        <w:widowControl/>
        <w:spacing w:line="576" w:lineRule="exact"/>
        <w:ind w:firstLine="643" w:firstLineChars="200"/>
        <w:jc w:val="left"/>
        <w:rPr>
          <w:rFonts w:ascii="仿宋_GB2312" w:hAnsi="仿宋" w:eastAsia="仿宋_GB2312" w:cs="仿宋"/>
          <w:bCs/>
          <w:kern w:val="0"/>
          <w:sz w:val="32"/>
          <w:szCs w:val="32"/>
          <w:highlight w:val="none"/>
        </w:rPr>
      </w:pPr>
      <w:r>
        <w:rPr>
          <w:rFonts w:hint="eastAsia" w:ascii="仿宋_GB2312" w:hAnsi="楷体" w:eastAsia="仿宋_GB2312" w:cs="仿宋"/>
          <w:b/>
          <w:bCs/>
          <w:kern w:val="0"/>
          <w:sz w:val="32"/>
          <w:szCs w:val="32"/>
          <w:highlight w:val="none"/>
        </w:rPr>
        <w:t>第二十</w:t>
      </w:r>
      <w:r>
        <w:rPr>
          <w:rFonts w:hint="eastAsia" w:ascii="仿宋_GB2312" w:hAnsi="楷体" w:eastAsia="仿宋_GB2312" w:cs="仿宋"/>
          <w:b/>
          <w:bCs/>
          <w:kern w:val="0"/>
          <w:sz w:val="32"/>
          <w:szCs w:val="32"/>
          <w:highlight w:val="none"/>
          <w:lang w:val="en-US" w:eastAsia="zh-CN"/>
        </w:rPr>
        <w:t>七</w:t>
      </w:r>
      <w:r>
        <w:rPr>
          <w:rFonts w:hint="eastAsia" w:ascii="仿宋_GB2312" w:hAnsi="楷体" w:eastAsia="仿宋_GB2312" w:cs="仿宋"/>
          <w:b/>
          <w:bCs/>
          <w:kern w:val="0"/>
          <w:sz w:val="32"/>
          <w:szCs w:val="32"/>
          <w:highlight w:val="none"/>
        </w:rPr>
        <w:t>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在课程期末或重修考试中有违纪、作弊行为的学生，</w:t>
      </w:r>
      <w:r>
        <w:rPr>
          <w:rFonts w:hint="eastAsia" w:ascii="仿宋_GB2312" w:hAnsi="仿宋" w:eastAsia="仿宋_GB2312" w:cs="仿宋"/>
          <w:bCs/>
          <w:kern w:val="0"/>
          <w:sz w:val="32"/>
          <w:szCs w:val="32"/>
          <w:highlight w:val="none"/>
        </w:rPr>
        <w:t>期末成绩记为0分，总成绩结合平时成绩按相应比例进行折算。</w:t>
      </w:r>
      <w:r>
        <w:rPr>
          <w:rFonts w:hint="eastAsia" w:ascii="仿宋_GB2312" w:hAnsi="仿宋" w:eastAsia="仿宋_GB2312" w:cs="仿宋"/>
          <w:kern w:val="0"/>
          <w:sz w:val="32"/>
          <w:szCs w:val="32"/>
          <w:highlight w:val="none"/>
        </w:rPr>
        <w:t>在课程补考考试中有违纪、作弊行为的学生，</w:t>
      </w:r>
      <w:r>
        <w:rPr>
          <w:rFonts w:hint="eastAsia" w:ascii="仿宋_GB2312" w:hAnsi="仿宋" w:eastAsia="仿宋_GB2312" w:cs="仿宋"/>
          <w:bCs/>
          <w:kern w:val="0"/>
          <w:sz w:val="32"/>
          <w:szCs w:val="32"/>
          <w:highlight w:val="none"/>
        </w:rPr>
        <w:t>总成绩记为0分。</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第二十</w:t>
      </w:r>
      <w:r>
        <w:rPr>
          <w:rFonts w:hint="eastAsia" w:ascii="仿宋_GB2312" w:hAnsi="楷体" w:eastAsia="仿宋_GB2312" w:cs="仿宋"/>
          <w:b/>
          <w:bCs/>
          <w:kern w:val="0"/>
          <w:sz w:val="32"/>
          <w:szCs w:val="32"/>
          <w:highlight w:val="none"/>
          <w:lang w:val="en-US" w:eastAsia="zh-CN"/>
        </w:rPr>
        <w:t>八</w:t>
      </w:r>
      <w:r>
        <w:rPr>
          <w:rFonts w:hint="eastAsia" w:ascii="仿宋_GB2312" w:hAnsi="楷体" w:eastAsia="仿宋_GB2312" w:cs="仿宋"/>
          <w:b/>
          <w:bCs/>
          <w:kern w:val="0"/>
          <w:sz w:val="32"/>
          <w:szCs w:val="32"/>
          <w:highlight w:val="none"/>
        </w:rPr>
        <w:t>条</w:t>
      </w:r>
      <w:r>
        <w:rPr>
          <w:rFonts w:hint="eastAsia" w:ascii="仿宋_GB2312" w:hAnsi="仿宋" w:eastAsia="仿宋_GB2312" w:cs="仿宋"/>
          <w:b/>
          <w:bCs/>
          <w:kern w:val="0"/>
          <w:sz w:val="32"/>
          <w:szCs w:val="32"/>
          <w:highlight w:val="none"/>
        </w:rPr>
        <w:t xml:space="preserve">  </w:t>
      </w:r>
      <w:r>
        <w:rPr>
          <w:rFonts w:hint="eastAsia" w:ascii="仿宋_GB2312" w:hAnsi="仿宋" w:eastAsia="仿宋_GB2312" w:cs="仿宋"/>
          <w:kern w:val="0"/>
          <w:sz w:val="32"/>
          <w:szCs w:val="32"/>
          <w:highlight w:val="none"/>
        </w:rPr>
        <w:t>由于身体原因修读体育保健课或免修体育课的学生，体育课程总成绩评定为及格。</w:t>
      </w:r>
    </w:p>
    <w:p>
      <w:pPr>
        <w:spacing w:line="576" w:lineRule="exact"/>
        <w:ind w:firstLine="640" w:firstLineChars="200"/>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应征入伍服役期满复学的学生，免修课程的总成绩评定为90分或优秀。</w:t>
      </w:r>
    </w:p>
    <w:p>
      <w:pPr>
        <w:widowControl/>
        <w:adjustRightInd w:val="0"/>
        <w:spacing w:line="576" w:lineRule="exact"/>
        <w:ind w:firstLine="640" w:firstLineChars="200"/>
        <w:jc w:val="left"/>
        <w:rPr>
          <w:rFonts w:ascii="仿宋_GB2312" w:hAnsi="仿宋" w:eastAsia="仿宋_GB2312" w:cs="仿宋"/>
          <w:sz w:val="32"/>
          <w:szCs w:val="32"/>
          <w:highlight w:val="none"/>
          <w:lang w:val="zh-CN"/>
        </w:rPr>
      </w:pPr>
      <w:r>
        <w:rPr>
          <w:rFonts w:hint="eastAsia" w:ascii="仿宋_GB2312" w:hAnsi="仿宋" w:eastAsia="仿宋_GB2312" w:cs="仿宋"/>
          <w:sz w:val="32"/>
          <w:szCs w:val="32"/>
          <w:highlight w:val="none"/>
          <w:lang w:val="zh-CN"/>
        </w:rPr>
        <w:t>参加学校统一组织的课程免修考核成绩达到80分或成绩为良好的学生，该课程总成绩的评定与课程免修考核成绩一致。</w:t>
      </w:r>
    </w:p>
    <w:p>
      <w:pPr>
        <w:widowControl/>
        <w:spacing w:line="576" w:lineRule="exact"/>
        <w:ind w:firstLine="630" w:firstLineChars="196"/>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w:t>
      </w:r>
      <w:r>
        <w:rPr>
          <w:rFonts w:hint="eastAsia" w:ascii="仿宋_GB2312" w:hAnsi="楷体" w:eastAsia="仿宋_GB2312" w:cs="仿宋"/>
          <w:b/>
          <w:bCs/>
          <w:kern w:val="0"/>
          <w:sz w:val="32"/>
          <w:szCs w:val="32"/>
          <w:highlight w:val="none"/>
          <w:lang w:val="en-US" w:eastAsia="zh-CN"/>
        </w:rPr>
        <w:t>二十九</w:t>
      </w:r>
      <w:r>
        <w:rPr>
          <w:rFonts w:hint="eastAsia" w:ascii="仿宋_GB2312" w:hAnsi="楷体" w:eastAsia="仿宋_GB2312" w:cs="仿宋"/>
          <w:b/>
          <w:bCs/>
          <w:kern w:val="0"/>
          <w:sz w:val="32"/>
          <w:szCs w:val="32"/>
          <w:highlight w:val="none"/>
        </w:rPr>
        <w:t>条</w:t>
      </w:r>
      <w:r>
        <w:rPr>
          <w:rFonts w:hint="eastAsia" w:ascii="仿宋_GB2312" w:hAnsi="仿宋" w:eastAsia="仿宋_GB2312" w:cs="仿宋"/>
          <w:kern w:val="0"/>
          <w:sz w:val="32"/>
          <w:szCs w:val="32"/>
          <w:highlight w:val="none"/>
        </w:rPr>
        <w:t xml:space="preserve">  成绩录入教师须在课程考核结束后5个工作日内，登录学校“教务管理系统”录入成绩并提交，提交后须即刻打印成绩单一式三份，交至开课学院（部），成绩提交后由教务处审核生效。教师须确保教务管理系统中录入的成绩、纸质成绩单同考核最终评定成绩一致。对于缓考、缺考、违纪、作弊、取消考核资格学生的考试状态应分别标记为缓考、缺考、违纪、作弊、取消。</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任何人不得无故拖延提交、上报成绩，如确有特殊情况，相关教师须提供书面材料说明原因，经所在学院（部）签署意见，报教务处审批通过后，可延迟提交、上报成绩，其书面材料由教务处留存备查。</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kern w:val="0"/>
          <w:sz w:val="32"/>
          <w:szCs w:val="32"/>
          <w:highlight w:val="none"/>
        </w:rPr>
        <w:t>第三十条</w:t>
      </w:r>
      <w:r>
        <w:rPr>
          <w:rFonts w:hint="eastAsia" w:ascii="仿宋_GB2312" w:hAnsi="仿宋" w:eastAsia="仿宋_GB2312" w:cs="仿宋"/>
          <w:kern w:val="0"/>
          <w:sz w:val="32"/>
          <w:szCs w:val="32"/>
          <w:highlight w:val="none"/>
        </w:rPr>
        <w:t xml:space="preserve">  学生不得随意查询试卷，如确有正当理由，要求对试卷进行复查时，须在成绩公布后15个工作日内，由本人向所在学院提出申请，填写《试卷核查申请表》，经学院签署意见后报教务处，由教务处会同开课学院（部）共同复查。</w:t>
      </w:r>
    </w:p>
    <w:p>
      <w:pPr>
        <w:widowControl/>
        <w:spacing w:line="576" w:lineRule="exact"/>
        <w:ind w:firstLine="640" w:firstLineChars="200"/>
        <w:jc w:val="left"/>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学院（部）院长有权复查本学院（部）试卷，教务处有权组织对全校试卷进行复查，通报复查结果。</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kern w:val="0"/>
          <w:sz w:val="32"/>
          <w:szCs w:val="32"/>
          <w:highlight w:val="none"/>
        </w:rPr>
        <w:t>第三十</w:t>
      </w:r>
      <w:r>
        <w:rPr>
          <w:rFonts w:hint="eastAsia" w:ascii="仿宋_GB2312" w:hAnsi="楷体" w:eastAsia="仿宋_GB2312" w:cs="仿宋"/>
          <w:b/>
          <w:kern w:val="0"/>
          <w:sz w:val="32"/>
          <w:szCs w:val="32"/>
          <w:highlight w:val="none"/>
          <w:lang w:val="en-US" w:eastAsia="zh-CN"/>
        </w:rPr>
        <w:t>一</w:t>
      </w:r>
      <w:r>
        <w:rPr>
          <w:rFonts w:hint="eastAsia" w:ascii="仿宋_GB2312" w:hAnsi="楷体" w:eastAsia="仿宋_GB2312" w:cs="仿宋"/>
          <w:b/>
          <w:kern w:val="0"/>
          <w:sz w:val="32"/>
          <w:szCs w:val="32"/>
          <w:highlight w:val="none"/>
        </w:rPr>
        <w:t>条</w:t>
      </w:r>
      <w:r>
        <w:rPr>
          <w:rFonts w:hint="eastAsia" w:ascii="仿宋_GB2312" w:hAnsi="仿宋" w:eastAsia="仿宋_GB2312" w:cs="仿宋"/>
          <w:kern w:val="0"/>
          <w:sz w:val="32"/>
          <w:szCs w:val="32"/>
          <w:highlight w:val="none"/>
        </w:rPr>
        <w:t xml:space="preserve">  成绩一经上报不得随意变更。如存在漏评、错评成绩的情况，专业（教研室）应查清事故原因，由相关教师按学校规定提出成绩变更申请，经学院（部）签署意见，报教务处审批通过后，方可对成绩进行更正。</w:t>
      </w:r>
    </w:p>
    <w:p>
      <w:pPr>
        <w:spacing w:line="576" w:lineRule="exact"/>
        <w:jc w:val="center"/>
        <w:rPr>
          <w:rFonts w:ascii="仿宋_GB2312" w:hAnsi="黑体" w:eastAsia="仿宋_GB2312" w:cs="黑体"/>
          <w:b/>
          <w:sz w:val="32"/>
          <w:szCs w:val="32"/>
          <w:highlight w:val="none"/>
        </w:rPr>
      </w:pPr>
      <w:r>
        <w:rPr>
          <w:rFonts w:hint="eastAsia" w:ascii="仿宋_GB2312" w:hAnsi="黑体" w:eastAsia="仿宋_GB2312" w:cs="黑体"/>
          <w:b/>
          <w:sz w:val="32"/>
          <w:szCs w:val="32"/>
          <w:highlight w:val="none"/>
        </w:rPr>
        <w:t>第五章   附  则</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楷体" w:eastAsia="仿宋_GB2312" w:cs="仿宋"/>
          <w:b/>
          <w:bCs/>
          <w:kern w:val="0"/>
          <w:sz w:val="32"/>
          <w:szCs w:val="32"/>
          <w:highlight w:val="none"/>
        </w:rPr>
        <w:t>第三十</w:t>
      </w:r>
      <w:r>
        <w:rPr>
          <w:rFonts w:hint="eastAsia" w:ascii="仿宋_GB2312" w:hAnsi="楷体" w:eastAsia="仿宋_GB2312" w:cs="仿宋"/>
          <w:b/>
          <w:bCs/>
          <w:kern w:val="0"/>
          <w:sz w:val="32"/>
          <w:szCs w:val="32"/>
          <w:highlight w:val="none"/>
          <w:lang w:val="en-US" w:eastAsia="zh-CN"/>
        </w:rPr>
        <w:t>二</w:t>
      </w:r>
      <w:r>
        <w:rPr>
          <w:rFonts w:hint="eastAsia" w:ascii="仿宋_GB2312" w:hAnsi="楷体" w:eastAsia="仿宋_GB2312" w:cs="仿宋"/>
          <w:b/>
          <w:bCs/>
          <w:kern w:val="0"/>
          <w:sz w:val="32"/>
          <w:szCs w:val="32"/>
          <w:highlight w:val="none"/>
        </w:rPr>
        <w:t>条</w:t>
      </w:r>
      <w:r>
        <w:rPr>
          <w:rFonts w:hint="eastAsia" w:ascii="仿宋_GB2312" w:hAnsi="仿宋" w:eastAsia="仿宋_GB2312" w:cs="仿宋"/>
          <w:kern w:val="0"/>
          <w:sz w:val="32"/>
          <w:szCs w:val="32"/>
          <w:highlight w:val="none"/>
        </w:rPr>
        <w:t xml:space="preserve">  本办法由教务处负责解释。</w:t>
      </w:r>
    </w:p>
    <w:p>
      <w:pPr>
        <w:widowControl/>
        <w:spacing w:line="576" w:lineRule="exact"/>
        <w:ind w:firstLine="643" w:firstLineChars="200"/>
        <w:jc w:val="left"/>
        <w:rPr>
          <w:rFonts w:ascii="仿宋_GB2312" w:hAnsi="仿宋" w:eastAsia="仿宋_GB2312" w:cs="仿宋"/>
          <w:kern w:val="0"/>
          <w:sz w:val="32"/>
          <w:szCs w:val="32"/>
          <w:highlight w:val="none"/>
        </w:rPr>
      </w:pPr>
      <w:r>
        <w:rPr>
          <w:rFonts w:hint="eastAsia" w:ascii="仿宋_GB2312" w:hAnsi="仿宋" w:eastAsia="仿宋_GB2312" w:cs="仿宋"/>
          <w:b/>
          <w:bCs/>
          <w:kern w:val="0"/>
          <w:sz w:val="32"/>
          <w:szCs w:val="32"/>
          <w:highlight w:val="none"/>
        </w:rPr>
        <w:t>第三十</w:t>
      </w:r>
      <w:r>
        <w:rPr>
          <w:rFonts w:hint="eastAsia" w:ascii="仿宋_GB2312" w:hAnsi="仿宋" w:eastAsia="仿宋_GB2312" w:cs="仿宋"/>
          <w:b/>
          <w:bCs/>
          <w:kern w:val="0"/>
          <w:sz w:val="32"/>
          <w:szCs w:val="32"/>
          <w:highlight w:val="none"/>
          <w:lang w:val="en-US" w:eastAsia="zh-CN"/>
        </w:rPr>
        <w:t>三</w:t>
      </w:r>
      <w:r>
        <w:rPr>
          <w:rFonts w:hint="eastAsia" w:ascii="仿宋_GB2312" w:hAnsi="仿宋" w:eastAsia="仿宋_GB2312" w:cs="仿宋"/>
          <w:b/>
          <w:bCs/>
          <w:kern w:val="0"/>
          <w:sz w:val="32"/>
          <w:szCs w:val="32"/>
          <w:highlight w:val="none"/>
        </w:rPr>
        <w:t>条</w:t>
      </w:r>
      <w:r>
        <w:rPr>
          <w:rFonts w:hint="eastAsia" w:ascii="仿宋_GB2312" w:hAnsi="仿宋" w:eastAsia="仿宋_GB2312" w:cs="仿宋"/>
          <w:kern w:val="0"/>
          <w:sz w:val="32"/>
          <w:szCs w:val="32"/>
          <w:highlight w:val="none"/>
        </w:rPr>
        <w:t xml:space="preserve">  本办法自公布之日起施行。</w:t>
      </w:r>
    </w:p>
    <w:p>
      <w:pPr>
        <w:widowControl/>
        <w:spacing w:line="576" w:lineRule="exact"/>
        <w:ind w:firstLine="640" w:firstLineChars="200"/>
        <w:jc w:val="left"/>
        <w:rPr>
          <w:rFonts w:ascii="仿宋_GB2312" w:hAnsi="仿宋" w:eastAsia="仿宋_GB2312" w:cs="仿宋"/>
          <w:kern w:val="0"/>
          <w:sz w:val="32"/>
          <w:szCs w:val="32"/>
          <w:highlight w:val="none"/>
        </w:rPr>
      </w:pPr>
    </w:p>
    <w:p>
      <w:pPr>
        <w:spacing w:line="576" w:lineRule="exact"/>
        <w:ind w:right="480"/>
        <w:jc w:val="right"/>
        <w:rPr>
          <w:rFonts w:ascii="仿宋_GB2312" w:hAnsi="宋体" w:eastAsia="仿宋_GB2312"/>
          <w:sz w:val="32"/>
          <w:szCs w:val="32"/>
          <w:highlight w:val="none"/>
        </w:rPr>
      </w:pPr>
      <w:r>
        <w:rPr>
          <w:rFonts w:hint="eastAsia" w:ascii="仿宋_GB2312" w:hAnsi="宋体" w:eastAsia="仿宋_GB2312"/>
          <w:sz w:val="32"/>
          <w:szCs w:val="32"/>
          <w:highlight w:val="none"/>
        </w:rPr>
        <w:t>吉林建筑科技学院</w:t>
      </w:r>
    </w:p>
    <w:p>
      <w:pPr>
        <w:spacing w:line="576" w:lineRule="exact"/>
        <w:ind w:right="480"/>
        <w:jc w:val="right"/>
        <w:rPr>
          <w:rFonts w:ascii="仿宋_GB2312" w:hAnsi="仿宋" w:eastAsia="仿宋_GB2312" w:cs="仿宋"/>
          <w:kern w:val="0"/>
          <w:sz w:val="30"/>
          <w:szCs w:val="30"/>
          <w:highlight w:val="none"/>
        </w:rPr>
      </w:pPr>
      <w:r>
        <w:rPr>
          <w:rFonts w:hint="eastAsia" w:ascii="仿宋_GB2312" w:hAnsi="宋体" w:eastAsia="仿宋_GB2312"/>
          <w:sz w:val="32"/>
          <w:szCs w:val="32"/>
          <w:highlight w:val="none"/>
        </w:rPr>
        <w:t>2023年</w:t>
      </w:r>
      <w:r>
        <w:rPr>
          <w:rFonts w:hint="eastAsia" w:ascii="仿宋_GB2312" w:hAnsi="宋体" w:eastAsia="仿宋_GB2312"/>
          <w:sz w:val="32"/>
          <w:szCs w:val="32"/>
          <w:highlight w:val="none"/>
          <w:lang w:val="en-US" w:eastAsia="zh-CN"/>
        </w:rPr>
        <w:t>11</w:t>
      </w:r>
      <w:r>
        <w:rPr>
          <w:rFonts w:hint="eastAsia" w:ascii="仿宋_GB2312" w:hAnsi="宋体" w:eastAsia="仿宋_GB2312"/>
          <w:sz w:val="32"/>
          <w:szCs w:val="32"/>
          <w:highlight w:val="none"/>
        </w:rPr>
        <w:t>月1</w:t>
      </w:r>
      <w:r>
        <w:rPr>
          <w:rFonts w:hint="eastAsia" w:ascii="仿宋_GB2312" w:hAnsi="宋体" w:eastAsia="仿宋_GB2312"/>
          <w:sz w:val="32"/>
          <w:szCs w:val="32"/>
          <w:highlight w:val="none"/>
          <w:lang w:val="en-US" w:eastAsia="zh-CN"/>
        </w:rPr>
        <w:t>7</w:t>
      </w:r>
      <w:r>
        <w:rPr>
          <w:rFonts w:hint="eastAsia" w:ascii="仿宋_GB2312" w:hAnsi="宋体" w:eastAsia="仿宋_GB2312"/>
          <w:sz w:val="32"/>
          <w:szCs w:val="3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jNDlhMTU4YzI0NWM3NmIzYTM4MWM0MTI4OWI2MTYifQ=="/>
  </w:docVars>
  <w:rsids>
    <w:rsidRoot w:val="0046770E"/>
    <w:rsid w:val="000335BA"/>
    <w:rsid w:val="00041647"/>
    <w:rsid w:val="000439F2"/>
    <w:rsid w:val="00053110"/>
    <w:rsid w:val="0007096C"/>
    <w:rsid w:val="00083ACC"/>
    <w:rsid w:val="000A2894"/>
    <w:rsid w:val="000A5C72"/>
    <w:rsid w:val="000D1585"/>
    <w:rsid w:val="000E65CC"/>
    <w:rsid w:val="001050A2"/>
    <w:rsid w:val="001726F4"/>
    <w:rsid w:val="00177AA2"/>
    <w:rsid w:val="00194A3D"/>
    <w:rsid w:val="001B11AF"/>
    <w:rsid w:val="001C0A16"/>
    <w:rsid w:val="001C5866"/>
    <w:rsid w:val="001D1CBE"/>
    <w:rsid w:val="001F01F9"/>
    <w:rsid w:val="001F7E19"/>
    <w:rsid w:val="00203E8C"/>
    <w:rsid w:val="00215068"/>
    <w:rsid w:val="00233DEF"/>
    <w:rsid w:val="0024228A"/>
    <w:rsid w:val="00267F1C"/>
    <w:rsid w:val="0027244D"/>
    <w:rsid w:val="002A226C"/>
    <w:rsid w:val="002A30F4"/>
    <w:rsid w:val="002A6F8E"/>
    <w:rsid w:val="002A75AB"/>
    <w:rsid w:val="002B693C"/>
    <w:rsid w:val="002D3198"/>
    <w:rsid w:val="002D3773"/>
    <w:rsid w:val="002D7A59"/>
    <w:rsid w:val="00315116"/>
    <w:rsid w:val="00317A83"/>
    <w:rsid w:val="00330A61"/>
    <w:rsid w:val="00336192"/>
    <w:rsid w:val="0034656B"/>
    <w:rsid w:val="00350AFB"/>
    <w:rsid w:val="00353ABD"/>
    <w:rsid w:val="00357367"/>
    <w:rsid w:val="003612BD"/>
    <w:rsid w:val="00374D58"/>
    <w:rsid w:val="00393237"/>
    <w:rsid w:val="003961E0"/>
    <w:rsid w:val="003A3D7A"/>
    <w:rsid w:val="003A7355"/>
    <w:rsid w:val="003B1CFE"/>
    <w:rsid w:val="003C5737"/>
    <w:rsid w:val="003C5FC0"/>
    <w:rsid w:val="003D2AC3"/>
    <w:rsid w:val="003D76C7"/>
    <w:rsid w:val="003E4F6B"/>
    <w:rsid w:val="003F0299"/>
    <w:rsid w:val="003F6FDA"/>
    <w:rsid w:val="00403487"/>
    <w:rsid w:val="004143D0"/>
    <w:rsid w:val="004147E0"/>
    <w:rsid w:val="00421F3E"/>
    <w:rsid w:val="00425CA0"/>
    <w:rsid w:val="0044046E"/>
    <w:rsid w:val="00465022"/>
    <w:rsid w:val="0046770E"/>
    <w:rsid w:val="00486CB2"/>
    <w:rsid w:val="004916C5"/>
    <w:rsid w:val="00492A14"/>
    <w:rsid w:val="00494A82"/>
    <w:rsid w:val="004A2F9C"/>
    <w:rsid w:val="004B7652"/>
    <w:rsid w:val="004D4FAF"/>
    <w:rsid w:val="004D7864"/>
    <w:rsid w:val="004D79C5"/>
    <w:rsid w:val="004E5A4D"/>
    <w:rsid w:val="005033CF"/>
    <w:rsid w:val="005062C5"/>
    <w:rsid w:val="00506E0F"/>
    <w:rsid w:val="005140C6"/>
    <w:rsid w:val="00515D60"/>
    <w:rsid w:val="005163E6"/>
    <w:rsid w:val="00561F77"/>
    <w:rsid w:val="00567F47"/>
    <w:rsid w:val="00570154"/>
    <w:rsid w:val="00570956"/>
    <w:rsid w:val="00581AD3"/>
    <w:rsid w:val="005A67A8"/>
    <w:rsid w:val="005B093B"/>
    <w:rsid w:val="005E7E76"/>
    <w:rsid w:val="0060216A"/>
    <w:rsid w:val="00614388"/>
    <w:rsid w:val="0062220B"/>
    <w:rsid w:val="00624722"/>
    <w:rsid w:val="006275DB"/>
    <w:rsid w:val="006457C5"/>
    <w:rsid w:val="00647ED5"/>
    <w:rsid w:val="0065464E"/>
    <w:rsid w:val="00671146"/>
    <w:rsid w:val="00696A52"/>
    <w:rsid w:val="006A106D"/>
    <w:rsid w:val="006A33C1"/>
    <w:rsid w:val="006A4D1B"/>
    <w:rsid w:val="006A7D3E"/>
    <w:rsid w:val="006C2D50"/>
    <w:rsid w:val="006D03BA"/>
    <w:rsid w:val="006D16DA"/>
    <w:rsid w:val="006E54F7"/>
    <w:rsid w:val="006F01D3"/>
    <w:rsid w:val="007060D8"/>
    <w:rsid w:val="00726677"/>
    <w:rsid w:val="00744DBA"/>
    <w:rsid w:val="00745E72"/>
    <w:rsid w:val="00755B6B"/>
    <w:rsid w:val="0077694D"/>
    <w:rsid w:val="007820AA"/>
    <w:rsid w:val="00782648"/>
    <w:rsid w:val="0079713D"/>
    <w:rsid w:val="007B2EA3"/>
    <w:rsid w:val="007D2DD8"/>
    <w:rsid w:val="007D6439"/>
    <w:rsid w:val="007D6493"/>
    <w:rsid w:val="00805175"/>
    <w:rsid w:val="008067BA"/>
    <w:rsid w:val="00821A63"/>
    <w:rsid w:val="00821D8B"/>
    <w:rsid w:val="00825E43"/>
    <w:rsid w:val="0083340F"/>
    <w:rsid w:val="0085135A"/>
    <w:rsid w:val="00855546"/>
    <w:rsid w:val="00862AB0"/>
    <w:rsid w:val="00882ED2"/>
    <w:rsid w:val="00887DBF"/>
    <w:rsid w:val="00890464"/>
    <w:rsid w:val="00895DA9"/>
    <w:rsid w:val="008B22E8"/>
    <w:rsid w:val="008B738A"/>
    <w:rsid w:val="008C3AB7"/>
    <w:rsid w:val="008C710C"/>
    <w:rsid w:val="008D391E"/>
    <w:rsid w:val="008D6DCA"/>
    <w:rsid w:val="008F2BFF"/>
    <w:rsid w:val="008F4706"/>
    <w:rsid w:val="008F5F58"/>
    <w:rsid w:val="009048C1"/>
    <w:rsid w:val="00906DD9"/>
    <w:rsid w:val="009073E3"/>
    <w:rsid w:val="009129D2"/>
    <w:rsid w:val="00915574"/>
    <w:rsid w:val="00943FE2"/>
    <w:rsid w:val="009548F5"/>
    <w:rsid w:val="00977077"/>
    <w:rsid w:val="009A05BF"/>
    <w:rsid w:val="009A18FB"/>
    <w:rsid w:val="009A383E"/>
    <w:rsid w:val="009D7BDB"/>
    <w:rsid w:val="009E1B17"/>
    <w:rsid w:val="009F35C1"/>
    <w:rsid w:val="00A427A9"/>
    <w:rsid w:val="00A6046B"/>
    <w:rsid w:val="00A66756"/>
    <w:rsid w:val="00A702F3"/>
    <w:rsid w:val="00A7294F"/>
    <w:rsid w:val="00A826DA"/>
    <w:rsid w:val="00A96546"/>
    <w:rsid w:val="00AC5D26"/>
    <w:rsid w:val="00AC7146"/>
    <w:rsid w:val="00AD04C6"/>
    <w:rsid w:val="00AD66CA"/>
    <w:rsid w:val="00AF4AE6"/>
    <w:rsid w:val="00B02EC3"/>
    <w:rsid w:val="00B03098"/>
    <w:rsid w:val="00B13F52"/>
    <w:rsid w:val="00B159BD"/>
    <w:rsid w:val="00B4422B"/>
    <w:rsid w:val="00B51116"/>
    <w:rsid w:val="00B523AC"/>
    <w:rsid w:val="00B725C7"/>
    <w:rsid w:val="00B82A86"/>
    <w:rsid w:val="00B839FD"/>
    <w:rsid w:val="00B86930"/>
    <w:rsid w:val="00B92380"/>
    <w:rsid w:val="00BA179A"/>
    <w:rsid w:val="00BA2F9A"/>
    <w:rsid w:val="00BB43C5"/>
    <w:rsid w:val="00BB5123"/>
    <w:rsid w:val="00BC0026"/>
    <w:rsid w:val="00BC39DF"/>
    <w:rsid w:val="00BC5740"/>
    <w:rsid w:val="00BE7A13"/>
    <w:rsid w:val="00BF5700"/>
    <w:rsid w:val="00C0210D"/>
    <w:rsid w:val="00C51E37"/>
    <w:rsid w:val="00C54502"/>
    <w:rsid w:val="00C63F78"/>
    <w:rsid w:val="00C6568C"/>
    <w:rsid w:val="00C70651"/>
    <w:rsid w:val="00C94713"/>
    <w:rsid w:val="00CA0FA1"/>
    <w:rsid w:val="00CA279A"/>
    <w:rsid w:val="00CB6BEB"/>
    <w:rsid w:val="00CC75DF"/>
    <w:rsid w:val="00CD4261"/>
    <w:rsid w:val="00CD76BF"/>
    <w:rsid w:val="00CE0544"/>
    <w:rsid w:val="00CE7DD0"/>
    <w:rsid w:val="00D03E5A"/>
    <w:rsid w:val="00D104CA"/>
    <w:rsid w:val="00D140AD"/>
    <w:rsid w:val="00D20152"/>
    <w:rsid w:val="00D231E2"/>
    <w:rsid w:val="00D231F6"/>
    <w:rsid w:val="00D239BB"/>
    <w:rsid w:val="00D32CE2"/>
    <w:rsid w:val="00D709DA"/>
    <w:rsid w:val="00D70E94"/>
    <w:rsid w:val="00D770D9"/>
    <w:rsid w:val="00D83DA0"/>
    <w:rsid w:val="00DA08AF"/>
    <w:rsid w:val="00DA4133"/>
    <w:rsid w:val="00DA79B3"/>
    <w:rsid w:val="00DB03AB"/>
    <w:rsid w:val="00DC0CF4"/>
    <w:rsid w:val="00DE4A64"/>
    <w:rsid w:val="00DF204A"/>
    <w:rsid w:val="00E0035F"/>
    <w:rsid w:val="00E02E20"/>
    <w:rsid w:val="00E1345D"/>
    <w:rsid w:val="00E26C64"/>
    <w:rsid w:val="00E34AE5"/>
    <w:rsid w:val="00E42A9A"/>
    <w:rsid w:val="00E447AF"/>
    <w:rsid w:val="00E54B46"/>
    <w:rsid w:val="00E567C3"/>
    <w:rsid w:val="00E75153"/>
    <w:rsid w:val="00E773F9"/>
    <w:rsid w:val="00E81DE0"/>
    <w:rsid w:val="00E850D2"/>
    <w:rsid w:val="00E86791"/>
    <w:rsid w:val="00E930EA"/>
    <w:rsid w:val="00E935E6"/>
    <w:rsid w:val="00EB1B30"/>
    <w:rsid w:val="00EC0F69"/>
    <w:rsid w:val="00EC6A47"/>
    <w:rsid w:val="00EE7435"/>
    <w:rsid w:val="00EF3190"/>
    <w:rsid w:val="00F012D5"/>
    <w:rsid w:val="00F16AC4"/>
    <w:rsid w:val="00F16AEA"/>
    <w:rsid w:val="00F36F7D"/>
    <w:rsid w:val="00F415D5"/>
    <w:rsid w:val="00F503C3"/>
    <w:rsid w:val="00F55563"/>
    <w:rsid w:val="00F575F9"/>
    <w:rsid w:val="00F71259"/>
    <w:rsid w:val="00F94175"/>
    <w:rsid w:val="00FA7299"/>
    <w:rsid w:val="00FB3533"/>
    <w:rsid w:val="00FB45DF"/>
    <w:rsid w:val="00FB6457"/>
    <w:rsid w:val="00FB6631"/>
    <w:rsid w:val="00FC4FBB"/>
    <w:rsid w:val="00FD0603"/>
    <w:rsid w:val="00FD2A4C"/>
    <w:rsid w:val="00FD377D"/>
    <w:rsid w:val="00FE0086"/>
    <w:rsid w:val="00FE1D6E"/>
    <w:rsid w:val="00FF1A8E"/>
    <w:rsid w:val="00FF699F"/>
    <w:rsid w:val="045F6AE5"/>
    <w:rsid w:val="05545FD4"/>
    <w:rsid w:val="0A4C7BC2"/>
    <w:rsid w:val="0E5532B5"/>
    <w:rsid w:val="0EFD148A"/>
    <w:rsid w:val="11E86677"/>
    <w:rsid w:val="12EF4767"/>
    <w:rsid w:val="13D77899"/>
    <w:rsid w:val="142065BB"/>
    <w:rsid w:val="1FAC7DD7"/>
    <w:rsid w:val="34E20478"/>
    <w:rsid w:val="35A324DC"/>
    <w:rsid w:val="402C2B1D"/>
    <w:rsid w:val="45FF6F6F"/>
    <w:rsid w:val="47B91573"/>
    <w:rsid w:val="49EF7646"/>
    <w:rsid w:val="4DED1D76"/>
    <w:rsid w:val="4DF216A7"/>
    <w:rsid w:val="509353A1"/>
    <w:rsid w:val="512D6CA6"/>
    <w:rsid w:val="56FB488A"/>
    <w:rsid w:val="64CD1747"/>
    <w:rsid w:val="6DD25F0C"/>
    <w:rsid w:val="74204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kern w:val="0"/>
      <w:sz w:val="18"/>
      <w:szCs w:val="18"/>
      <w:lang w:val="en-US" w:eastAsia="zh-CN" w:bidi="ar"/>
    </w:rPr>
  </w:style>
  <w:style w:type="paragraph" w:styleId="7">
    <w:name w:val="Title"/>
    <w:basedOn w:val="1"/>
    <w:next w:val="1"/>
    <w:link w:val="16"/>
    <w:qFormat/>
    <w:uiPriority w:val="0"/>
    <w:pPr>
      <w:spacing w:before="240" w:after="60"/>
      <w:jc w:val="center"/>
      <w:outlineLvl w:val="0"/>
    </w:pPr>
    <w:rPr>
      <w:rFonts w:asciiTheme="majorHAnsi" w:hAnsiTheme="majorHAnsi" w:cstheme="majorBidi"/>
      <w:b/>
      <w:bCs/>
      <w:sz w:val="32"/>
      <w:szCs w:val="32"/>
    </w:rPr>
  </w:style>
  <w:style w:type="paragraph" w:styleId="8">
    <w:name w:val="annotation subject"/>
    <w:basedOn w:val="2"/>
    <w:next w:val="2"/>
    <w:link w:val="18"/>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5"/>
    <w:qFormat/>
    <w:uiPriority w:val="99"/>
    <w:rPr>
      <w:sz w:val="18"/>
      <w:szCs w:val="18"/>
    </w:rPr>
  </w:style>
  <w:style w:type="character" w:customStyle="1" w:styleId="15">
    <w:name w:val="页脚 Char"/>
    <w:basedOn w:val="11"/>
    <w:link w:val="4"/>
    <w:qFormat/>
    <w:uiPriority w:val="99"/>
    <w:rPr>
      <w:sz w:val="18"/>
      <w:szCs w:val="18"/>
    </w:rPr>
  </w:style>
  <w:style w:type="character" w:customStyle="1" w:styleId="16">
    <w:name w:val="标题 Char"/>
    <w:basedOn w:val="11"/>
    <w:link w:val="7"/>
    <w:qFormat/>
    <w:uiPriority w:val="0"/>
    <w:rPr>
      <w:rFonts w:eastAsia="宋体" w:asciiTheme="majorHAnsi" w:hAnsiTheme="majorHAnsi" w:cstheme="majorBidi"/>
      <w:b/>
      <w:bCs/>
      <w:sz w:val="32"/>
      <w:szCs w:val="32"/>
    </w:rPr>
  </w:style>
  <w:style w:type="character" w:customStyle="1" w:styleId="17">
    <w:name w:val="批注文字 Char"/>
    <w:basedOn w:val="11"/>
    <w:link w:val="2"/>
    <w:qFormat/>
    <w:uiPriority w:val="99"/>
    <w:rPr>
      <w:rFonts w:ascii="Times New Roman" w:hAnsi="Times New Roman" w:eastAsia="宋体" w:cs="Times New Roman"/>
      <w:szCs w:val="24"/>
    </w:rPr>
  </w:style>
  <w:style w:type="character" w:customStyle="1" w:styleId="18">
    <w:name w:val="批注主题 Char"/>
    <w:basedOn w:val="17"/>
    <w:link w:val="8"/>
    <w:semiHidden/>
    <w:qFormat/>
    <w:uiPriority w:val="99"/>
    <w:rPr>
      <w:rFonts w:ascii="Times New Roman" w:hAnsi="Times New Roman" w:eastAsia="宋体" w:cs="Times New Roman"/>
      <w:b/>
      <w:bCs/>
      <w:szCs w:val="24"/>
    </w:rPr>
  </w:style>
  <w:style w:type="character" w:customStyle="1" w:styleId="19">
    <w:name w:val="批注框文本 Char"/>
    <w:basedOn w:val="11"/>
    <w:link w:val="3"/>
    <w:semiHidden/>
    <w:qFormat/>
    <w:uiPriority w:val="99"/>
    <w:rPr>
      <w:rFonts w:ascii="Times New Roman" w:hAnsi="Times New Roman" w:eastAsia="宋体" w:cs="Times New Roman"/>
      <w:sz w:val="18"/>
      <w:szCs w:val="18"/>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paragraph"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CD439-843A-4B7D-8608-D2325DD4746B}">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647</Words>
  <Characters>3692</Characters>
  <Lines>30</Lines>
  <Paragraphs>8</Paragraphs>
  <TotalTime>24</TotalTime>
  <ScaleCrop>false</ScaleCrop>
  <LinksUpToDate>false</LinksUpToDate>
  <CharactersWithSpaces>4331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2022-11-01T06:46:00Z</dcterms:created>
  <dc:creator>Administrator</dc:creator>
  <cp:lastModifiedBy>莹如</cp:lastModifiedBy>
  <cp:lastPrinted>2017-06-19T02:17:00Z</cp:lastPrinted>
  <dcterms:modified xsi:type="dcterms:W3CDTF">2023-12-05T00:35:06Z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A1DDCA1CEB4E45718A702D0CF93E7DAB_13</vt:lpwstr>
  </property>
</Properties>
</file>