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吉林建筑科技学院</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“金课”建设计划项目验收评审指标</w:t>
      </w:r>
    </w:p>
    <w:p>
      <w:pPr>
        <w:rPr>
          <w:rFonts w:hint="eastAsia"/>
          <w:lang w:val="en-US" w:eastAsia="zh-CN"/>
        </w:rPr>
      </w:pPr>
    </w:p>
    <w:p>
      <w:pPr>
        <w:rPr>
          <w:rFonts w:hint="eastAsia" w:ascii="黑体" w:hAnsi="黑体" w:eastAsia="黑体" w:cs="黑体"/>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线上“金课”验收评审指标</w:t>
      </w:r>
    </w:p>
    <w:p>
      <w:pPr>
        <w:rPr>
          <w:rFonts w:hint="default"/>
        </w:rPr>
      </w:pPr>
      <w:r>
        <w:rPr>
          <w:rFonts w:hint="eastAsia" w:ascii="黑体" w:hAnsi="黑体" w:eastAsia="黑体" w:cs="黑体"/>
          <w:sz w:val="28"/>
          <w:szCs w:val="28"/>
          <w:lang w:eastAsia="zh-CN"/>
        </w:rPr>
        <w:t>（一）</w:t>
      </w:r>
      <w:r>
        <w:rPr>
          <w:rFonts w:hint="eastAsia" w:ascii="黑体" w:hAnsi="黑体" w:eastAsia="黑体" w:cs="黑体"/>
          <w:sz w:val="28"/>
          <w:szCs w:val="28"/>
        </w:rPr>
        <w:t>否决性指标</w:t>
      </w:r>
    </w:p>
    <w:tbl>
      <w:tblPr>
        <w:tblStyle w:val="10"/>
        <w:tblW w:w="9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85"/>
        <w:gridCol w:w="7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2" w:hRule="atLeast"/>
          <w:jc w:val="center"/>
        </w:trPr>
        <w:tc>
          <w:tcPr>
            <w:tcW w:w="2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项</w:t>
            </w:r>
            <w:r>
              <w:rPr>
                <w:rFonts w:hint="eastAsia" w:ascii="仿宋" w:hAnsi="仿宋" w:eastAsia="仿宋" w:cs="仿宋"/>
                <w:b/>
                <w:bCs/>
                <w:color w:val="000000"/>
                <w:sz w:val="24"/>
                <w:szCs w:val="24"/>
                <w:lang w:eastAsia="zh-CN"/>
              </w:rPr>
              <w:t>目</w:t>
            </w:r>
          </w:p>
        </w:tc>
        <w:tc>
          <w:tcPr>
            <w:tcW w:w="7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课程资格</w:t>
            </w:r>
          </w:p>
        </w:tc>
        <w:tc>
          <w:tcPr>
            <w:tcW w:w="7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申报材料不齐备</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无法显示完整内容和教学活动</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非慕课</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开设时间或期数不符合申报要求</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教师无在线教学服务</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存在思想性或较严重的科学性问题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2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造假、侵权</w:t>
            </w:r>
          </w:p>
        </w:tc>
        <w:tc>
          <w:tcPr>
            <w:tcW w:w="7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申报材料造假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有侵权现象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2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不适合网络传播</w:t>
            </w:r>
          </w:p>
        </w:tc>
        <w:tc>
          <w:tcPr>
            <w:tcW w:w="7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left w:w="75" w:type="dxa"/>
              <w:right w:w="75" w:type="dxa"/>
            </w:tcMar>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课程内容不适合网络公开传播</w:t>
            </w:r>
          </w:p>
        </w:tc>
      </w:tr>
    </w:tbl>
    <w:p>
      <w:pPr>
        <w:rPr>
          <w:rFonts w:hint="default"/>
        </w:rPr>
      </w:pPr>
      <w:r>
        <w:rPr>
          <w:rFonts w:hint="eastAsia" w:ascii="黑体" w:hAnsi="黑体" w:eastAsia="黑体" w:cs="黑体"/>
          <w:sz w:val="28"/>
          <w:szCs w:val="28"/>
          <w:lang w:eastAsia="zh-CN"/>
        </w:rPr>
        <w:t>（二）评审指标细则</w:t>
      </w:r>
    </w:p>
    <w:tbl>
      <w:tblPr>
        <w:tblStyle w:val="10"/>
        <w:tblW w:w="96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214"/>
        <w:gridCol w:w="1404"/>
        <w:gridCol w:w="6122"/>
        <w:gridCol w:w="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24" w:hRule="atLeast"/>
          <w:jc w:val="center"/>
        </w:trPr>
        <w:tc>
          <w:tcPr>
            <w:tcW w:w="121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一级指标</w:t>
            </w: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二级指标</w:t>
            </w:r>
          </w:p>
        </w:tc>
        <w:tc>
          <w:tcPr>
            <w:tcW w:w="6122"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观测点及描述</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1214"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课程内容</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20分</w:t>
            </w:r>
            <w:r>
              <w:rPr>
                <w:rFonts w:hint="eastAsia" w:ascii="仿宋" w:hAnsi="仿宋" w:eastAsia="仿宋" w:cs="仿宋"/>
                <w:color w:val="000000"/>
                <w:sz w:val="24"/>
                <w:szCs w:val="24"/>
                <w:lang w:eastAsia="zh-CN"/>
              </w:rPr>
              <w:t>）</w:t>
            </w: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规范性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课程定位准确，教学内容质量高；课程知识体系科学完整。</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思想性、科学性、先进性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坚持立德树人，将思想政治教育内化为课程内容，弘扬社会主义核心价值观；课程内容先进、新颖，反映学科专业先进的核心理论和成果，体现教改教研成果，具有较高的科学性水平，注重运用知识解决实际问题。</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4" w:hRule="atLeast"/>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课程无危害国家安全、涉密及其他不适宜网络公开传播的内容，无侵犯他人知识产权内容。</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6" w:hRule="atLeast"/>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适当性、多样性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课程内容及教学环节配置丰富、多样，深浅度合理，内容更新和完善及时。在线考试难易度适当，有区分度。</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jc w:val="center"/>
        </w:trPr>
        <w:tc>
          <w:tcPr>
            <w:tcW w:w="1214"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课程教学</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设计  </w:t>
            </w:r>
          </w:p>
          <w:p>
            <w:pPr>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25分</w:t>
            </w:r>
            <w:r>
              <w:rPr>
                <w:rFonts w:hint="eastAsia" w:ascii="仿宋" w:hAnsi="仿宋" w:eastAsia="仿宋" w:cs="仿宋"/>
                <w:color w:val="000000"/>
                <w:sz w:val="24"/>
                <w:szCs w:val="24"/>
                <w:lang w:eastAsia="zh-CN"/>
              </w:rPr>
              <w:t>）</w:t>
            </w:r>
          </w:p>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合理性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教学目标明确，教学方法与教学活动组织科学合理，符合教育教学规律。</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方向性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符合以学生为中心的课程教学改革方向，注重激发学生学习志趣和潜能，增强学生的社会责任感、创新精神和实践能力；信息技术与教育教学融合，课程应用与课程服务相融通，适合在线学习、翻转课堂以及线上线下混合式拓展性学习。</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71" w:hRule="atLeast"/>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创新性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有针对性地解决当前教育教学中存在的问题，充分利用和发挥网络教学优势，各教学环节充分、有效，满足学生的在线学习的诉求，不是传统课堂的简单翻版。</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214"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课程团队</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10分</w:t>
            </w:r>
            <w:r>
              <w:rPr>
                <w:rFonts w:hint="eastAsia" w:ascii="仿宋" w:hAnsi="仿宋" w:eastAsia="仿宋" w:cs="仿宋"/>
                <w:color w:val="000000"/>
                <w:sz w:val="24"/>
                <w:szCs w:val="24"/>
                <w:lang w:eastAsia="zh-CN"/>
              </w:rPr>
              <w:t>）</w:t>
            </w: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在本课程专业领域有较高学术造诣，教学经验丰富，教学水平高，在推进基于慕课的信息技术与教育教学深度融合的课程改革中投入精力大，有一定影响度。</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团队</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主讲教师师德好、教学能力强，教学表现力强，课程团队结构合理。</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214"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教学支持</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20分</w:t>
            </w:r>
            <w:r>
              <w:rPr>
                <w:rFonts w:hint="eastAsia" w:ascii="仿宋" w:hAnsi="仿宋" w:eastAsia="仿宋" w:cs="仿宋"/>
                <w:color w:val="000000"/>
                <w:sz w:val="24"/>
                <w:szCs w:val="24"/>
                <w:lang w:eastAsia="zh-CN"/>
              </w:rPr>
              <w:t>）</w:t>
            </w: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团队服务</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通过课程平台，教师按照教学计划和要求为学习者提供测验、作业、考试、答疑、讨论等教学活动，及时开展有效的在线指导与测评。</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9" w:hRule="atLeast"/>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学习者活动</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学习者在线学习响应度高，师生互动活跃。</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6" w:hRule="atLeast"/>
          <w:jc w:val="center"/>
        </w:trPr>
        <w:tc>
          <w:tcPr>
            <w:tcW w:w="1214"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应用效果与影响 </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25分</w:t>
            </w:r>
            <w:r>
              <w:rPr>
                <w:rFonts w:hint="eastAsia" w:ascii="仿宋" w:hAnsi="仿宋" w:eastAsia="仿宋" w:cs="仿宋"/>
                <w:color w:val="000000"/>
                <w:sz w:val="24"/>
                <w:szCs w:val="24"/>
                <w:lang w:eastAsia="zh-CN"/>
              </w:rPr>
              <w:t>）</w:t>
            </w:r>
          </w:p>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开放性</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面向其他高校和社会学习者开放学习程度高。</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课程本校应用情况</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在本校将在线课程与课堂教学结合，推动教学方法改革，有效提高教学质量。</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0" w:hRule="atLeast"/>
          <w:jc w:val="center"/>
        </w:trPr>
        <w:tc>
          <w:tcPr>
            <w:tcW w:w="121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140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在其他高校和社会学习者中应用共享情况</w:t>
            </w:r>
          </w:p>
        </w:tc>
        <w:tc>
          <w:tcPr>
            <w:tcW w:w="6122"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共享范围广，应用模式多样，应用效果好，社会影响力大，受益教师和学习者反馈、评价高。</w:t>
            </w:r>
          </w:p>
        </w:tc>
        <w:tc>
          <w:tcPr>
            <w:tcW w:w="955"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15分</w:t>
            </w:r>
          </w:p>
        </w:tc>
      </w:tr>
    </w:tbl>
    <w:p>
      <w:pPr>
        <w:sectPr>
          <w:footerReference r:id="rId3" w:type="default"/>
          <w:pgSz w:w="11906" w:h="16838"/>
          <w:pgMar w:top="1383"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二、线下“金课”验收评审指标</w:t>
      </w:r>
    </w:p>
    <w:p>
      <w:pPr>
        <w:rPr>
          <w:rFonts w:hint="default"/>
        </w:rPr>
      </w:pPr>
      <w:r>
        <w:rPr>
          <w:rFonts w:hint="eastAsia" w:ascii="黑体" w:hAnsi="黑体" w:eastAsia="黑体" w:cs="黑体"/>
          <w:sz w:val="28"/>
          <w:szCs w:val="28"/>
          <w:lang w:eastAsia="zh-CN"/>
        </w:rPr>
        <w:t>（一）</w:t>
      </w:r>
      <w:r>
        <w:rPr>
          <w:rFonts w:hint="eastAsia" w:ascii="黑体" w:hAnsi="黑体" w:eastAsia="黑体" w:cs="黑体"/>
          <w:sz w:val="28"/>
          <w:szCs w:val="28"/>
        </w:rPr>
        <w:t>否决性指标</w:t>
      </w:r>
    </w:p>
    <w:tbl>
      <w:tblPr>
        <w:tblStyle w:val="10"/>
        <w:tblW w:w="9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49"/>
        <w:gridCol w:w="7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9" w:hRule="atLeast"/>
          <w:jc w:val="center"/>
        </w:trPr>
        <w:tc>
          <w:tcPr>
            <w:tcW w:w="1649"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项</w:t>
            </w:r>
            <w:r>
              <w:rPr>
                <w:rFonts w:hint="eastAsia" w:ascii="仿宋" w:hAnsi="仿宋" w:eastAsia="仿宋" w:cs="仿宋"/>
                <w:b/>
                <w:bCs/>
                <w:color w:val="000000"/>
                <w:sz w:val="24"/>
                <w:szCs w:val="24"/>
                <w:lang w:eastAsia="zh-CN"/>
              </w:rPr>
              <w:t>目</w:t>
            </w:r>
          </w:p>
        </w:tc>
        <w:tc>
          <w:tcPr>
            <w:tcW w:w="7677"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课程资质</w:t>
            </w:r>
          </w:p>
        </w:tc>
        <w:tc>
          <w:tcPr>
            <w:tcW w:w="7677"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未完成至少两个完整的教学学期或周期</w:t>
            </w:r>
          </w:p>
          <w:p>
            <w:pPr>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申报材料不齐备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64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教师资格</w:t>
            </w:r>
          </w:p>
        </w:tc>
        <w:tc>
          <w:tcPr>
            <w:tcW w:w="7677" w:type="dxa"/>
            <w:tcBorders>
              <w:top w:val="nil"/>
              <w:left w:val="nil"/>
              <w:bottom w:val="single" w:color="auto" w:sz="6" w:space="0"/>
              <w:right w:val="single" w:color="auto" w:sz="6" w:space="0"/>
            </w:tcBorders>
            <w:shd w:val="clear" w:color="auto" w:fill="auto"/>
            <w:tcMar>
              <w:left w:w="75" w:type="dxa"/>
              <w:right w:w="75" w:type="dxa"/>
            </w:tcMar>
            <w:vAlign w:val="center"/>
          </w:tcPr>
          <w:p>
            <w:pPr>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负责人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团队成员存在师德师风方面问题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4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课程内容</w:t>
            </w:r>
          </w:p>
        </w:tc>
        <w:tc>
          <w:tcPr>
            <w:tcW w:w="7677"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存在思想性或较严重的科学性问题</w:t>
            </w:r>
          </w:p>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申报材料无法支撑课程内容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64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造假、侵权</w:t>
            </w:r>
          </w:p>
        </w:tc>
        <w:tc>
          <w:tcPr>
            <w:tcW w:w="7677" w:type="dxa"/>
            <w:tcBorders>
              <w:top w:val="nil"/>
              <w:left w:val="nil"/>
              <w:bottom w:val="single" w:color="auto" w:sz="6" w:space="0"/>
              <w:right w:val="single" w:color="auto" w:sz="6" w:space="0"/>
            </w:tcBorders>
            <w:shd w:val="clear" w:color="auto" w:fill="auto"/>
            <w:tcMar>
              <w:left w:w="75" w:type="dxa"/>
              <w:right w:w="75" w:type="dxa"/>
            </w:tcMar>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申报材料造假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有侵权现象</w:t>
            </w:r>
          </w:p>
        </w:tc>
      </w:tr>
    </w:tbl>
    <w:p>
      <w:pPr>
        <w:rPr>
          <w:rFonts w:hint="default" w:ascii="黑体" w:hAnsi="黑体" w:eastAsia="黑体" w:cs="黑体"/>
          <w:sz w:val="28"/>
          <w:szCs w:val="28"/>
          <w:lang w:eastAsia="zh-CN"/>
        </w:rPr>
      </w:pPr>
      <w:r>
        <w:rPr>
          <w:rFonts w:hint="eastAsia" w:ascii="黑体" w:hAnsi="黑体" w:eastAsia="黑体" w:cs="黑体"/>
          <w:sz w:val="28"/>
          <w:szCs w:val="28"/>
          <w:lang w:eastAsia="zh-CN"/>
        </w:rPr>
        <w:t>（二）评审指标细则</w:t>
      </w:r>
    </w:p>
    <w:tbl>
      <w:tblPr>
        <w:tblStyle w:val="10"/>
        <w:tblW w:w="95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19"/>
        <w:gridCol w:w="7418"/>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4" w:hRule="atLeast"/>
          <w:jc w:val="center"/>
        </w:trPr>
        <w:tc>
          <w:tcPr>
            <w:tcW w:w="1319"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指标</w:t>
            </w:r>
          </w:p>
        </w:tc>
        <w:tc>
          <w:tcPr>
            <w:tcW w:w="7418"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观测点及描述</w:t>
            </w:r>
          </w:p>
        </w:tc>
        <w:tc>
          <w:tcPr>
            <w:tcW w:w="81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1319"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课程目标符合新时代人才培养要求</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15分</w:t>
            </w:r>
            <w:r>
              <w:rPr>
                <w:rFonts w:hint="eastAsia" w:ascii="仿宋" w:hAnsi="仿宋" w:eastAsia="仿宋" w:cs="仿宋"/>
                <w:color w:val="000000"/>
                <w:sz w:val="24"/>
                <w:szCs w:val="24"/>
                <w:lang w:eastAsia="zh-CN"/>
              </w:rPr>
              <w:t>）</w:t>
            </w:r>
          </w:p>
        </w:tc>
        <w:tc>
          <w:tcPr>
            <w:tcW w:w="7418" w:type="dxa"/>
            <w:tcBorders>
              <w:top w:val="nil"/>
              <w:left w:val="nil"/>
              <w:bottom w:val="single" w:color="auto" w:sz="6" w:space="0"/>
              <w:right w:val="single" w:color="auto" w:sz="6" w:space="0"/>
            </w:tcBorders>
            <w:shd w:val="clear" w:color="auto" w:fill="auto"/>
            <w:tcMar>
              <w:left w:w="75" w:type="dxa"/>
              <w:right w:w="75" w:type="dxa"/>
            </w:tcMar>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符合学校办学定位和人才培养目标，坚持立德树人。</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坚持知识、能力、素质有机融合，注重提升课程高阶性、突出课程创新性、增加课程挑战度，契合学生解决复杂问题等综合能力养成要求。</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目标描述准确具体，对应国家、行业、专业需求，符合培养规律，符合校情、学情，达成路径清晰，便于考核评价。</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1319"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授课教师（团队）切实投入教学改革</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15分</w:t>
            </w:r>
            <w:r>
              <w:rPr>
                <w:rFonts w:hint="eastAsia" w:ascii="仿宋" w:hAnsi="仿宋" w:eastAsia="仿宋" w:cs="仿宋"/>
                <w:color w:val="000000"/>
                <w:sz w:val="24"/>
                <w:szCs w:val="24"/>
                <w:lang w:eastAsia="zh-CN"/>
              </w:rPr>
              <w:t>）</w:t>
            </w:r>
          </w:p>
        </w:tc>
        <w:tc>
          <w:tcPr>
            <w:tcW w:w="7418" w:type="dxa"/>
            <w:tcBorders>
              <w:top w:val="nil"/>
              <w:left w:val="nil"/>
              <w:bottom w:val="single" w:color="auto" w:sz="6" w:space="0"/>
              <w:right w:val="single" w:color="auto" w:sz="6" w:space="0"/>
            </w:tcBorders>
            <w:shd w:val="clear" w:color="auto" w:fill="auto"/>
            <w:tcMar>
              <w:left w:w="75" w:type="dxa"/>
              <w:right w:w="75" w:type="dxa"/>
            </w:tcMar>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秉持学生中心、产出导向、持续改进的理念。</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教学理念融入教学设计，围绕目标达成、教学内容、组织实施和多元评价需求进行整体规划，教学策略、教学方法教学过程、教学评价等设计合理。</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教学改革意识强烈，能够主动运用新技术、新手段、新工具，创新教学方法，提高教学效率、提升教学质量，教学能力有显著提升。</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p>
            <w:pPr>
              <w:jc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课程内容与时</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俱进</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20分</w:t>
            </w:r>
            <w:r>
              <w:rPr>
                <w:rFonts w:hint="eastAsia" w:ascii="仿宋" w:hAnsi="仿宋" w:eastAsia="仿宋" w:cs="仿宋"/>
                <w:color w:val="000000"/>
                <w:sz w:val="24"/>
                <w:szCs w:val="24"/>
                <w:lang w:eastAsia="zh-CN"/>
              </w:rPr>
              <w:t>）</w:t>
            </w: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落实课程思政建设要求，通过专业知识教育与思想政治教育的紧密融合，将价值塑造、知识传授和能力培养三者融为一体。</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体现前沿性与时代性要求，反映学科专业、行业先进的核心理论和成果，聚焦新工科、新文科建设，增加体现多学科思维融合、产业技术与学科理论融合、跨专业能力融合、多学科项目实践融合内容。</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保障教学资源的优质性与适用性，以提升学生综合能力为重点，重塑课程内容。</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教与学发生改变</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15分</w:t>
            </w:r>
            <w:r>
              <w:rPr>
                <w:rFonts w:hint="eastAsia" w:ascii="仿宋" w:hAnsi="仿宋" w:eastAsia="仿宋" w:cs="仿宋"/>
                <w:color w:val="000000"/>
                <w:sz w:val="24"/>
                <w:szCs w:val="24"/>
                <w:lang w:eastAsia="zh-CN"/>
              </w:rPr>
              <w:t>）</w:t>
            </w:r>
          </w:p>
          <w:p>
            <w:pPr>
              <w:jc w:val="center"/>
              <w:rPr>
                <w:rFonts w:hint="eastAsia" w:ascii="仿宋" w:hAnsi="仿宋" w:eastAsia="仿宋" w:cs="仿宋"/>
                <w:color w:val="000000"/>
                <w:sz w:val="24"/>
                <w:szCs w:val="24"/>
              </w:rPr>
            </w:pPr>
          </w:p>
        </w:tc>
        <w:tc>
          <w:tcPr>
            <w:tcW w:w="741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以教为中心向以学为中心转变，以提升教学效果为目的因材施教，运用适当的数字化教学工具，有效开展线下课堂教学活动。实施打破传统课堂“满堂灌”和沉默状态的方式方法，训练学生问题解决能力和审辩式思维能力</w:t>
            </w:r>
            <w:r>
              <w:rPr>
                <w:rFonts w:hint="eastAsia" w:ascii="仿宋" w:hAnsi="仿宋" w:eastAsia="仿宋" w:cs="仿宋"/>
                <w:color w:val="000000"/>
                <w:sz w:val="24"/>
                <w:szCs w:val="24"/>
                <w:lang w:eastAsia="zh-CN"/>
              </w:rPr>
              <w:t>。</w:t>
            </w:r>
          </w:p>
        </w:tc>
        <w:tc>
          <w:tcPr>
            <w:tcW w:w="81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single" w:color="auto" w:sz="6" w:space="0"/>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学生学习方式有显著变化，安排学生个别化学习与合作学习，强化课堂教学师生互动、生生互动环节，加强研究型、项目式学习。</w:t>
            </w:r>
          </w:p>
        </w:tc>
        <w:tc>
          <w:tcPr>
            <w:tcW w:w="81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评价拓展</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深化</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15分</w:t>
            </w:r>
            <w:r>
              <w:rPr>
                <w:rFonts w:hint="eastAsia" w:ascii="仿宋" w:hAnsi="仿宋" w:eastAsia="仿宋" w:cs="仿宋"/>
                <w:color w:val="000000"/>
                <w:sz w:val="24"/>
                <w:szCs w:val="24"/>
                <w:lang w:eastAsia="zh-CN"/>
              </w:rPr>
              <w:t>）</w:t>
            </w: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考核方式多元，丰富探究式、论文式、报告答辩式等作业评价方式，加强非标准化、综合性等评价，评价手段恰当必要，契合相对应的人才培养类型。</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考试考核评价严格，体现过程评价，注重学习效果评价，考核考试评价严格，过程可回溯，诊断改进积极有效。</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改革行之有效</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20分</w:t>
            </w:r>
            <w:r>
              <w:rPr>
                <w:rFonts w:hint="eastAsia" w:ascii="仿宋" w:hAnsi="仿宋" w:eastAsia="仿宋" w:cs="仿宋"/>
                <w:color w:val="000000"/>
                <w:sz w:val="24"/>
                <w:szCs w:val="24"/>
                <w:lang w:eastAsia="zh-CN"/>
              </w:rPr>
              <w:t>）</w:t>
            </w:r>
          </w:p>
          <w:p>
            <w:pPr>
              <w:jc w:val="center"/>
              <w:rPr>
                <w:rFonts w:hint="eastAsia" w:ascii="仿宋" w:hAnsi="仿宋" w:eastAsia="仿宋" w:cs="仿宋"/>
                <w:color w:val="000000"/>
                <w:sz w:val="24"/>
                <w:szCs w:val="24"/>
              </w:rPr>
            </w:pPr>
          </w:p>
        </w:tc>
        <w:tc>
          <w:tcPr>
            <w:tcW w:w="741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学习效果提升，学生对课程的参与度、学习获得感、对教师教学以及课程的满意度有明显提高。</w:t>
            </w:r>
          </w:p>
        </w:tc>
        <w:tc>
          <w:tcPr>
            <w:tcW w:w="81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p>
        </w:tc>
        <w:tc>
          <w:tcPr>
            <w:tcW w:w="7418" w:type="dxa"/>
            <w:tcBorders>
              <w:top w:val="single" w:color="auto" w:sz="6" w:space="0"/>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改革迭代优化，有意识地收集数据开展教学反思、教学研究和教学改进。在多期混合式教学中进行迭代，不断优化教学的设计和实施。</w:t>
            </w:r>
          </w:p>
        </w:tc>
        <w:tc>
          <w:tcPr>
            <w:tcW w:w="81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探索</w:t>
            </w:r>
            <w:r>
              <w:rPr>
                <w:rFonts w:hint="eastAsia" w:ascii="仿宋" w:hAnsi="仿宋" w:eastAsia="仿宋" w:cs="仿宋"/>
                <w:color w:val="000000"/>
                <w:sz w:val="24"/>
                <w:szCs w:val="24"/>
                <w:lang w:eastAsia="zh-CN"/>
              </w:rPr>
              <w:t>利用</w:t>
            </w:r>
            <w:r>
              <w:rPr>
                <w:rFonts w:hint="eastAsia" w:ascii="仿宋" w:hAnsi="仿宋" w:eastAsia="仿宋" w:cs="仿宋"/>
                <w:color w:val="000000"/>
                <w:sz w:val="24"/>
                <w:szCs w:val="24"/>
              </w:rPr>
              <w:t>信息化教学工具开展线下课程改革、应用信息化手段开展教学管理与质量监控。</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19"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p>
        </w:tc>
        <w:tc>
          <w:tcPr>
            <w:tcW w:w="7418"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较好地解决了传统教学中的短板问题。在树立课程建设新理念、推进课程改革创新、提升教学效果方面显示了明显优势，具有推广价值。</w:t>
            </w:r>
          </w:p>
        </w:tc>
        <w:tc>
          <w:tcPr>
            <w:tcW w:w="81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bl>
    <w:p>
      <w:pPr>
        <w:sectPr>
          <w:pgSz w:w="11906" w:h="16838"/>
          <w:pgMar w:top="873" w:right="1800" w:bottom="1157"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三、线上线下混合式“金课”验收评审指标</w:t>
      </w:r>
    </w:p>
    <w:p>
      <w:pPr>
        <w:rPr>
          <w:rFonts w:hint="default"/>
        </w:rPr>
      </w:pPr>
      <w:r>
        <w:rPr>
          <w:rFonts w:hint="eastAsia" w:ascii="黑体" w:hAnsi="黑体" w:eastAsia="黑体" w:cs="黑体"/>
          <w:sz w:val="28"/>
          <w:szCs w:val="28"/>
          <w:lang w:eastAsia="zh-CN"/>
        </w:rPr>
        <w:t>（一）</w:t>
      </w:r>
      <w:r>
        <w:rPr>
          <w:rFonts w:hint="eastAsia" w:ascii="黑体" w:hAnsi="黑体" w:eastAsia="黑体" w:cs="黑体"/>
          <w:sz w:val="28"/>
          <w:szCs w:val="28"/>
        </w:rPr>
        <w:t>否决性指标</w:t>
      </w:r>
    </w:p>
    <w:tbl>
      <w:tblPr>
        <w:tblStyle w:val="10"/>
        <w:tblW w:w="9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9"/>
        <w:gridCol w:w="8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7" w:hRule="atLeast"/>
          <w:jc w:val="center"/>
        </w:trPr>
        <w:tc>
          <w:tcPr>
            <w:tcW w:w="1189"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项目</w:t>
            </w:r>
          </w:p>
        </w:tc>
        <w:tc>
          <w:tcPr>
            <w:tcW w:w="837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8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课程资质</w:t>
            </w:r>
          </w:p>
        </w:tc>
        <w:tc>
          <w:tcPr>
            <w:tcW w:w="8375"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未完成至少两个完整的教学学期或周期</w:t>
            </w:r>
          </w:p>
          <w:p>
            <w:pPr>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申报材料不齐备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8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课程内容</w:t>
            </w:r>
          </w:p>
        </w:tc>
        <w:tc>
          <w:tcPr>
            <w:tcW w:w="8375"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线上资源选择随意，课程质量差，不符合教学目标要求。</w:t>
            </w:r>
          </w:p>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线上课程教学安排不符合“安排20%-50%的线上学生自主学习的基本要求”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8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教师资格</w:t>
            </w:r>
          </w:p>
        </w:tc>
        <w:tc>
          <w:tcPr>
            <w:tcW w:w="8375"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负责人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团队成员存在师德师风</w:t>
            </w:r>
            <w:r>
              <w:rPr>
                <w:rFonts w:hint="eastAsia" w:ascii="仿宋" w:hAnsi="仿宋" w:eastAsia="仿宋" w:cs="仿宋"/>
                <w:color w:val="000000"/>
                <w:sz w:val="24"/>
                <w:szCs w:val="24"/>
                <w:lang w:eastAsia="zh-CN"/>
              </w:rPr>
              <w:t>等</w:t>
            </w:r>
            <w:r>
              <w:rPr>
                <w:rFonts w:hint="eastAsia" w:ascii="仿宋" w:hAnsi="仿宋" w:eastAsia="仿宋" w:cs="仿宋"/>
                <w:color w:val="000000"/>
                <w:sz w:val="24"/>
                <w:szCs w:val="24"/>
              </w:rPr>
              <w:t>方面问题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8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课程内容</w:t>
            </w:r>
          </w:p>
        </w:tc>
        <w:tc>
          <w:tcPr>
            <w:tcW w:w="8375"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存在思想性或较严重的科学性问题</w:t>
            </w:r>
          </w:p>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申报材料无法支撑课程内容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1189"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造假侵权</w:t>
            </w:r>
          </w:p>
        </w:tc>
        <w:tc>
          <w:tcPr>
            <w:tcW w:w="8375" w:type="dxa"/>
            <w:tcBorders>
              <w:top w:val="nil"/>
              <w:left w:val="nil"/>
              <w:bottom w:val="single" w:color="auto" w:sz="6" w:space="0"/>
              <w:right w:val="single" w:color="auto" w:sz="6" w:space="0"/>
            </w:tcBorders>
            <w:shd w:val="clear" w:color="auto" w:fill="auto"/>
            <w:tcMar>
              <w:left w:w="75" w:type="dxa"/>
              <w:right w:w="75" w:type="dxa"/>
            </w:tcMar>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申报材料造假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有侵权现象</w:t>
            </w:r>
          </w:p>
        </w:tc>
      </w:tr>
    </w:tbl>
    <w:p>
      <w:pPr>
        <w:rPr>
          <w:rFonts w:hint="default" w:ascii="黑体" w:hAnsi="黑体" w:eastAsia="黑体" w:cs="黑体"/>
          <w:sz w:val="28"/>
          <w:szCs w:val="28"/>
          <w:lang w:eastAsia="zh-CN"/>
        </w:rPr>
      </w:pPr>
      <w:r>
        <w:rPr>
          <w:rFonts w:hint="eastAsia" w:ascii="黑体" w:hAnsi="黑体" w:eastAsia="黑体" w:cs="黑体"/>
          <w:sz w:val="28"/>
          <w:szCs w:val="28"/>
          <w:lang w:eastAsia="zh-CN"/>
        </w:rPr>
        <w:t>（二）评审指标细则</w:t>
      </w:r>
    </w:p>
    <w:tbl>
      <w:tblPr>
        <w:tblStyle w:val="10"/>
        <w:tblW w:w="101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404"/>
        <w:gridCol w:w="8021"/>
        <w:gridCol w:w="7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388" w:hRule="atLeast"/>
          <w:jc w:val="center"/>
        </w:trPr>
        <w:tc>
          <w:tcPr>
            <w:tcW w:w="1404"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指标</w:t>
            </w:r>
          </w:p>
        </w:tc>
        <w:tc>
          <w:tcPr>
            <w:tcW w:w="802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观测点及描述</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1404" w:type="dxa"/>
            <w:vMerge w:val="restart"/>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课程目标符合新时代人才培养要求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（15分）</w:t>
            </w:r>
          </w:p>
        </w:tc>
        <w:tc>
          <w:tcPr>
            <w:tcW w:w="802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符合学校办学定位和人才培养目标，坚持立德树人。</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坚持知识、能力、素质有机融合，注重提升课程的高阶性、突出课程的创新性、增加课程的挑战度，契合学生解决复杂问题等综合能力养成要求。</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目标描述准确具体，对应国家、行业、专业需求，符合培养规律，符合校情、学情，达成路径清晰，便于考核评价。</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 w:hRule="atLeast"/>
          <w:jc w:val="center"/>
        </w:trPr>
        <w:tc>
          <w:tcPr>
            <w:tcW w:w="1404" w:type="dxa"/>
            <w:vMerge w:val="restart"/>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授课教师（团队） 切实投入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教学改革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（15分）</w:t>
            </w:r>
          </w:p>
        </w:tc>
        <w:tc>
          <w:tcPr>
            <w:tcW w:w="8021" w:type="dxa"/>
            <w:tcBorders>
              <w:tl2br w:val="nil"/>
              <w:tr2bl w:val="nil"/>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秉持学生中心、产出导向、持续改进的理念。</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教学理念融入教学设计，围绕目标达成、教学内容、组织实施和多元评价需求进行整体规划，教学策略、教学方法 教学过程、教学评价等设计合理。</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教学改革意识强烈，能够主动运用新技术，创新教学方法提高教学效率、提升教学质量，教学能力有显著提升。 </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restart"/>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课程内容与时俱进</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（20分）</w:t>
            </w:r>
          </w:p>
        </w:tc>
        <w:tc>
          <w:tcPr>
            <w:tcW w:w="8021" w:type="dxa"/>
            <w:tcBorders>
              <w:tl2br w:val="nil"/>
              <w:tr2bl w:val="nil"/>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落实课程思政建设要求，通过专业知识教育与思想政治教育的紧密融合，将价值塑造、知识传授和能力培养三者融为一体。</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0" w:hRule="atLeast"/>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体现前沿性与时代性要求，反映学科专业、行业先进的核心理论和成果，聚焦新工科、新文科建设，增加体现多学科思维融合、产业技术与学科理论融合、跨专业能力融合、多学科项目实践融合内容。</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保障教学资源的优质性与适用性，优先选择国家级和省级精品在线开放课程等高质量在线课程资源，结合学校及学生实际对课程内容进行优化，线上、线下内容互补，充分体现混合式优势。</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1" w:hRule="atLeast"/>
          <w:jc w:val="center"/>
        </w:trPr>
        <w:tc>
          <w:tcPr>
            <w:tcW w:w="1404" w:type="dxa"/>
            <w:vMerge w:val="restart"/>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教与学发生改变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（15分）</w:t>
            </w:r>
          </w:p>
        </w:tc>
        <w:tc>
          <w:tcPr>
            <w:tcW w:w="8021" w:type="dxa"/>
            <w:tcBorders>
              <w:tl2br w:val="nil"/>
              <w:tr2bl w:val="nil"/>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以教为中心向以学为中心转变，符合“安排20-50%的教学时间实施学生线上自主学习”基本要求，运用适当的数字化教学工具创新教学方式方法，有效开展线上与线下密切衔接的全过程教学活动。实施打破传统课堂“满堂灌”和沉默状态的方式方法，训练学生问题解决能力和审辩式思维能力。</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学生学习方式有显著变化，安排学生个别化学习与合作学习，强化课堂教学师生互动、生生互动环节，加强研究型、项目式学习。</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p>
            <w:pPr>
              <w:jc w:val="center"/>
              <w:rPr>
                <w:rFonts w:hint="eastAsia" w:ascii="仿宋" w:hAnsi="仿宋" w:eastAsia="仿宋" w:cs="仿宋"/>
                <w:color w:val="000000"/>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restart"/>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评价拓展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（15分）</w:t>
            </w:r>
          </w:p>
        </w:tc>
        <w:tc>
          <w:tcPr>
            <w:tcW w:w="8021" w:type="dxa"/>
            <w:tcBorders>
              <w:tl2br w:val="nil"/>
              <w:tr2bl w:val="nil"/>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考核方式多元，丰富探究式、论文式、报告答辩式等作业评价方式，加强非标准化、综合性等评价，评价手段恰当必要，契合应用型人才培养。</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考试考核评价严格，体现过程评价，注重学习效果评价。学生线上自主学习、作业和测试等评价与参加线下教学活动的评价连贯完整，过程可回溯，诊断改进积极有效。</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restart"/>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改革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行之有效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学习效果提升，学生对课程的参与度、学习获得感、对教师教学以及课程的满意度有明显提高。 </w:t>
            </w:r>
          </w:p>
        </w:tc>
        <w:tc>
          <w:tcPr>
            <w:tcW w:w="711" w:type="dxa"/>
            <w:tcBorders>
              <w:tl2br w:val="nil"/>
              <w:tr2bl w:val="nil"/>
            </w:tcBorders>
            <w:shd w:val="clear" w:color="auto" w:fill="auto"/>
            <w:tcMar>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改革迭代优化，有意识地收集数据开展教学反思、教学研究和教学改进。在多期混合式教学中进行迭代，不断优化教学的设计和实施。</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探索</w:t>
            </w:r>
            <w:r>
              <w:rPr>
                <w:rFonts w:hint="eastAsia" w:ascii="仿宋" w:hAnsi="仿宋" w:eastAsia="仿宋" w:cs="仿宋"/>
                <w:color w:val="000000"/>
                <w:sz w:val="24"/>
                <w:szCs w:val="24"/>
                <w:lang w:eastAsia="zh-CN"/>
              </w:rPr>
              <w:t>利用</w:t>
            </w:r>
            <w:r>
              <w:rPr>
                <w:rFonts w:hint="eastAsia" w:ascii="仿宋" w:hAnsi="仿宋" w:eastAsia="仿宋" w:cs="仿宋"/>
                <w:color w:val="000000"/>
                <w:sz w:val="24"/>
                <w:szCs w:val="24"/>
              </w:rPr>
              <w:t>信息化教学工具开展课程改革</w:t>
            </w:r>
            <w:r>
              <w:rPr>
                <w:rFonts w:hint="eastAsia" w:ascii="仿宋" w:hAnsi="仿宋" w:eastAsia="仿宋" w:cs="仿宋"/>
                <w:color w:val="000000"/>
                <w:sz w:val="24"/>
                <w:szCs w:val="24"/>
                <w:lang w:eastAsia="zh-CN"/>
              </w:rPr>
              <w:t>及</w:t>
            </w:r>
            <w:r>
              <w:rPr>
                <w:rFonts w:hint="eastAsia" w:ascii="仿宋" w:hAnsi="仿宋" w:eastAsia="仿宋" w:cs="仿宋"/>
                <w:color w:val="000000"/>
                <w:sz w:val="24"/>
                <w:szCs w:val="24"/>
              </w:rPr>
              <w:t>教学管理与质量监控。</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404" w:type="dxa"/>
            <w:vMerge w:val="continue"/>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p>
        </w:tc>
        <w:tc>
          <w:tcPr>
            <w:tcW w:w="8021"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较好地解决了传统教学中的短板问题。在树立课程建设新理念、推进课程改革创新、提升教学效果方面显示了明显优势，具有推广价值。</w:t>
            </w:r>
          </w:p>
        </w:tc>
        <w:tc>
          <w:tcPr>
            <w:tcW w:w="711"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r>
    </w:tbl>
    <w:p/>
    <w:p>
      <w:pPr>
        <w:rPr>
          <w:rFonts w:hint="eastAsia" w:ascii="黑体" w:hAnsi="黑体" w:eastAsia="黑体" w:cs="黑体"/>
          <w:sz w:val="28"/>
          <w:szCs w:val="28"/>
          <w:lang w:val="en-US" w:eastAsia="zh-CN"/>
        </w:rPr>
        <w:sectPr>
          <w:pgSz w:w="11906" w:h="16838"/>
          <w:pgMar w:top="703" w:right="1800" w:bottom="986"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四、虚拟仿真“金课”验收评审指标</w:t>
      </w:r>
    </w:p>
    <w:tbl>
      <w:tblPr>
        <w:tblStyle w:val="10"/>
        <w:tblW w:w="10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8"/>
        <w:gridCol w:w="1173"/>
        <w:gridCol w:w="1964"/>
        <w:gridCol w:w="5093"/>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0" w:hRule="atLeast"/>
          <w:jc w:val="center"/>
        </w:trPr>
        <w:tc>
          <w:tcPr>
            <w:tcW w:w="117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重百分比</w:t>
            </w:r>
          </w:p>
        </w:tc>
        <w:tc>
          <w:tcPr>
            <w:tcW w:w="1173"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一级指标</w:t>
            </w:r>
          </w:p>
        </w:tc>
        <w:tc>
          <w:tcPr>
            <w:tcW w:w="196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二级指标</w:t>
            </w:r>
          </w:p>
        </w:tc>
        <w:tc>
          <w:tcPr>
            <w:tcW w:w="5093"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观测点及描述</w:t>
            </w:r>
          </w:p>
        </w:tc>
        <w:tc>
          <w:tcPr>
            <w:tcW w:w="79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应用强度矩阵</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（30分）</w:t>
            </w:r>
          </w:p>
        </w:tc>
        <w:tc>
          <w:tcPr>
            <w:tcW w:w="1173" w:type="dxa"/>
            <w:vMerge w:val="restart"/>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应用强度</w:t>
            </w:r>
          </w:p>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实验教学信息化总体规划</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1.实验教学总体规划方案中有关信息化的描述</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2.实验教学信息化中有关虚拟仿真的描述</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虚拟实验在实验教学课程体系中的位置</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1.实验课程在整个课程体系中所占比例</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2.实验课程对主干基础课的支撑程度</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3.虚拟实验在实验课程中所占比例</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4.虚拟实验的学习刚性（必修还是选修）</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虚拟仿真项目在实验课程中发挥的作用</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1.是否坚持了能实不虚的原则</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2.是否实现了虚实结合</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3.项目完成情况如何认定实验成绩</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虚拟仿真实验对原有教学形式的影响</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1.是否提高了原有线下实验的效率</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2.是否增强了原有线下实验的效果</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3.是否实现了线上线下相结合</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应用广度矩阵</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（20分）</w:t>
            </w:r>
          </w:p>
          <w:p>
            <w:pPr>
              <w:jc w:val="center"/>
              <w:rPr>
                <w:rFonts w:hint="eastAsia" w:ascii="仿宋" w:hAnsi="仿宋" w:eastAsia="仿宋" w:cs="仿宋"/>
                <w:color w:val="000000"/>
                <w:kern w:val="2"/>
                <w:sz w:val="24"/>
                <w:szCs w:val="24"/>
                <w:lang w:val="en-US" w:eastAsia="zh-CN" w:bidi="ar-SA"/>
              </w:rPr>
            </w:pPr>
          </w:p>
        </w:tc>
        <w:tc>
          <w:tcPr>
            <w:tcW w:w="1173" w:type="dxa"/>
            <w:vMerge w:val="restart"/>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应用广度</w:t>
            </w:r>
          </w:p>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本专业应用项目的情况</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numPr>
                <w:ilvl w:val="0"/>
                <w:numId w:val="0"/>
              </w:num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1.必修课使用人数和学时数</w:t>
            </w:r>
          </w:p>
          <w:p>
            <w:pPr>
              <w:numPr>
                <w:ilvl w:val="0"/>
                <w:numId w:val="0"/>
              </w:num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2.选修课使用人数和学时数 </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numPr>
                <w:ilvl w:val="0"/>
                <w:numId w:val="0"/>
              </w:num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本学科其他专业应用项目的情况</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1.使用项目的专业数</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2.涉及的人数和学时数</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本校应用项目的情况</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numPr>
                <w:ilvl w:val="0"/>
                <w:numId w:val="0"/>
              </w:num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1.是否有其他学科使用该项目</w:t>
            </w:r>
          </w:p>
          <w:p>
            <w:pPr>
              <w:numPr>
                <w:ilvl w:val="0"/>
                <w:numId w:val="0"/>
              </w:num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2.使用情况</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numPr>
                <w:ilvl w:val="0"/>
                <w:numId w:val="0"/>
              </w:num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外校应用项目的情况</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center"/>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兄弟院校将该项目用于实验教学的情况</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其他单位应用项目的情况</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center"/>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相关行业将该项目用于科普或员工培训的情况</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78"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应用效度矩阵</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（40分）</w:t>
            </w:r>
          </w:p>
        </w:tc>
        <w:tc>
          <w:tcPr>
            <w:tcW w:w="1173" w:type="dxa"/>
            <w:vMerge w:val="restart"/>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应用效度</w:t>
            </w:r>
          </w:p>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虚拟实验填补实验教学空白</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通过使用虚拟实验，填补了原有实验教学体系的空白，更好的支撑了课堂教学</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虚拟实验优化原有实验教学环节</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1.通过使用虚拟实验，提高了原实验教学环节的效率；</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2.通过使用虚拟实验，丰富了教学手段，拓展课学生动手能力培养方式 </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173"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虚拟实验的实际教学效果</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1.通过虚拟实验，学生对理论教学知识点掌握是否得到加强</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2.通过虚拟实验，学生对实验原理、流程和操作是否有效的掌握和模拟训练</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3.通过虚拟实验，对学生综合分析解决问题能力的培养效果</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4.学生评价与反馈</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78"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保障机制矩阵</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10分）</w:t>
            </w:r>
          </w:p>
        </w:tc>
        <w:tc>
          <w:tcPr>
            <w:tcW w:w="1173" w:type="dxa"/>
            <w:tcBorders>
              <w:top w:val="nil"/>
              <w:left w:val="nil"/>
              <w:bottom w:val="single" w:color="auto" w:sz="6" w:space="0"/>
              <w:right w:val="single" w:color="auto" w:sz="6" w:space="0"/>
            </w:tcBorders>
            <w:shd w:val="clear" w:color="auto" w:fill="auto"/>
            <w:tcMar>
              <w:left w:w="75" w:type="dxa"/>
              <w:right w:w="75" w:type="dxa"/>
            </w:tcMar>
            <w:vAlign w:val="center"/>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保障机制</w:t>
            </w:r>
          </w:p>
        </w:tc>
        <w:tc>
          <w:tcPr>
            <w:tcW w:w="1964" w:type="dxa"/>
            <w:tcBorders>
              <w:top w:val="nil"/>
              <w:left w:val="nil"/>
              <w:bottom w:val="single" w:color="auto" w:sz="6" w:space="0"/>
              <w:right w:val="single" w:color="auto" w:sz="6" w:space="0"/>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应用与服务团队建设</w:t>
            </w:r>
          </w:p>
        </w:tc>
        <w:tc>
          <w:tcPr>
            <w:tcW w:w="5093" w:type="dxa"/>
            <w:tcBorders>
              <w:top w:val="nil"/>
              <w:left w:val="nil"/>
              <w:bottom w:val="single" w:color="auto" w:sz="6" w:space="0"/>
              <w:right w:val="single" w:color="auto" w:sz="6" w:space="0"/>
            </w:tcBorders>
            <w:shd w:val="clear" w:color="auto" w:fill="auto"/>
            <w:tcMar>
              <w:left w:w="75" w:type="dxa"/>
              <w:right w:w="75" w:type="dxa"/>
            </w:tcMar>
            <w:vAlign w:val="center"/>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是否有稳定的团队负责项目的开发与持续建设，力量是否充足，是否具有多元化的背景，分工是否明确</w:t>
            </w:r>
          </w:p>
        </w:tc>
        <w:tc>
          <w:tcPr>
            <w:tcW w:w="794" w:type="dxa"/>
            <w:tcBorders>
              <w:top w:val="nil"/>
              <w:left w:val="nil"/>
              <w:bottom w:val="single" w:color="auto" w:sz="6" w:space="0"/>
              <w:right w:val="single" w:color="auto" w:sz="6" w:space="0"/>
            </w:tcBorders>
            <w:shd w:val="clear" w:color="auto" w:fill="auto"/>
            <w:tcMar>
              <w:left w:w="75" w:type="dxa"/>
              <w:right w:w="75" w:type="dxa"/>
            </w:tcMar>
            <w:vAlign w:val="center"/>
          </w:tcPr>
          <w:p>
            <w:pPr>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bl>
    <w:p>
      <w:pPr>
        <w:sectPr>
          <w:pgSz w:w="11906" w:h="16838"/>
          <w:pgMar w:top="930" w:right="1800" w:bottom="986"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五、社会实践“金课”验收评审指标</w:t>
      </w:r>
      <w:bookmarkStart w:id="0" w:name="_GoBack"/>
      <w:bookmarkEnd w:id="0"/>
    </w:p>
    <w:tbl>
      <w:tblPr>
        <w:tblStyle w:val="10"/>
        <w:tblW w:w="102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173"/>
        <w:gridCol w:w="1332"/>
        <w:gridCol w:w="6937"/>
        <w:gridCol w:w="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0" w:hRule="atLeast"/>
          <w:jc w:val="center"/>
        </w:trPr>
        <w:tc>
          <w:tcPr>
            <w:tcW w:w="1173"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一级指标</w:t>
            </w:r>
          </w:p>
        </w:tc>
        <w:tc>
          <w:tcPr>
            <w:tcW w:w="1332"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二级指标</w:t>
            </w:r>
          </w:p>
        </w:tc>
        <w:tc>
          <w:tcPr>
            <w:tcW w:w="6937"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观测点及描述</w:t>
            </w:r>
          </w:p>
        </w:tc>
        <w:tc>
          <w:tcPr>
            <w:tcW w:w="79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173"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内容</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（40分）</w:t>
            </w:r>
          </w:p>
          <w:p>
            <w:pPr>
              <w:jc w:val="center"/>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创新性</w:t>
            </w:r>
          </w:p>
        </w:tc>
        <w:tc>
          <w:tcPr>
            <w:tcW w:w="6937"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促进创新创业教育与思想政治教育、专业教育、体育、美育、劳动教育紧密结合，广泛开展大学生创新活动，孵化大学生创新创业项目，助推科研成果转化应用，服务国家创新发展。</w:t>
            </w:r>
          </w:p>
        </w:tc>
        <w:tc>
          <w:tcPr>
            <w:tcW w:w="794"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173"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先进性</w:t>
            </w:r>
          </w:p>
        </w:tc>
        <w:tc>
          <w:tcPr>
            <w:tcW w:w="6937"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1.将移动互联网、云计算、大数据、人工智能、物联网等新一代信息技术与经济社会各领域紧密结合，培育新产品、新服务、新业态、新模式。</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2.发挥互联网在促进产业升级以及信息化和工业化深度融合中的作用，促进制造业、环保等产业转型升级。</w:t>
            </w:r>
          </w:p>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3.发挥互联网在社会服务中的作用，创新网络化服务模式，促进互联网与医疗等深度融合。</w:t>
            </w:r>
          </w:p>
        </w:tc>
        <w:tc>
          <w:tcPr>
            <w:tcW w:w="79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6" w:hRule="atLeast"/>
          <w:jc w:val="center"/>
        </w:trPr>
        <w:tc>
          <w:tcPr>
            <w:tcW w:w="1173"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形式</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（30分）</w:t>
            </w:r>
          </w:p>
          <w:p>
            <w:pPr>
              <w:jc w:val="center"/>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思想性</w:t>
            </w:r>
          </w:p>
        </w:tc>
        <w:tc>
          <w:tcPr>
            <w:tcW w:w="6937" w:type="dxa"/>
            <w:tcBorders>
              <w:tl2br w:val="nil"/>
              <w:tr2bl w:val="nil"/>
            </w:tcBorders>
            <w:shd w:val="clear" w:color="auto" w:fill="auto"/>
            <w:tcMar>
              <w:left w:w="75" w:type="dxa"/>
              <w:right w:w="75" w:type="dxa"/>
            </w:tcMar>
            <w:vAlign w:val="center"/>
          </w:tcPr>
          <w:p>
            <w:pPr>
              <w:numPr>
                <w:ilvl w:val="0"/>
                <w:numId w:val="0"/>
              </w:num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立意应弘扬正能量，践行社会主义核心价值观。</w:t>
            </w:r>
          </w:p>
        </w:tc>
        <w:tc>
          <w:tcPr>
            <w:tcW w:w="794" w:type="dxa"/>
            <w:tcBorders>
              <w:tl2br w:val="nil"/>
              <w:tr2bl w:val="nil"/>
            </w:tcBorders>
            <w:shd w:val="clear" w:color="auto" w:fill="auto"/>
            <w:tcMar>
              <w:left w:w="75" w:type="dxa"/>
              <w:right w:w="75" w:type="dxa"/>
            </w:tcMar>
            <w:vAlign w:val="center"/>
          </w:tcPr>
          <w:p>
            <w:pPr>
              <w:numPr>
                <w:ilvl w:val="0"/>
                <w:numId w:val="0"/>
              </w:num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173"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合法性</w:t>
            </w:r>
          </w:p>
        </w:tc>
        <w:tc>
          <w:tcPr>
            <w:tcW w:w="6937"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须真实、健康、合法，无任何不良信息，不得侵犯他人知识产权。</w:t>
            </w:r>
          </w:p>
        </w:tc>
        <w:tc>
          <w:tcPr>
            <w:tcW w:w="794"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173"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多样性</w:t>
            </w:r>
          </w:p>
        </w:tc>
        <w:tc>
          <w:tcPr>
            <w:tcW w:w="6937" w:type="dxa"/>
            <w:tcBorders>
              <w:tl2br w:val="nil"/>
              <w:tr2bl w:val="nil"/>
            </w:tcBorders>
            <w:shd w:val="clear" w:color="auto" w:fill="auto"/>
            <w:tcMar>
              <w:left w:w="75" w:type="dxa"/>
              <w:right w:w="75" w:type="dxa"/>
            </w:tcMar>
            <w:vAlign w:val="top"/>
          </w:tcPr>
          <w:p>
            <w:pPr>
              <w:numPr>
                <w:ilvl w:val="0"/>
                <w:numId w:val="0"/>
              </w:numPr>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培育、孵化参加各级互联网+大学生创新创业大赛项目；组织学生开展青年红色筑梦之旅、暑假三下乡等社会实践活动，深入革命老区、贫困地区和城乡社区，接受思想洗礼，助理精准扶贫、乡村振兴和社区卫生健康服务。</w:t>
            </w:r>
          </w:p>
        </w:tc>
        <w:tc>
          <w:tcPr>
            <w:tcW w:w="794" w:type="dxa"/>
            <w:tcBorders>
              <w:tl2br w:val="nil"/>
              <w:tr2bl w:val="nil"/>
            </w:tcBorders>
            <w:shd w:val="clear" w:color="auto" w:fill="auto"/>
            <w:tcMar>
              <w:left w:w="75" w:type="dxa"/>
              <w:right w:w="75" w:type="dxa"/>
            </w:tcMar>
            <w:vAlign w:val="center"/>
          </w:tcPr>
          <w:p>
            <w:pPr>
              <w:numPr>
                <w:ilvl w:val="0"/>
                <w:numId w:val="0"/>
              </w:num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1173"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团队</w:t>
            </w:r>
          </w:p>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指导老师</w:t>
            </w:r>
          </w:p>
        </w:tc>
        <w:tc>
          <w:tcPr>
            <w:tcW w:w="6937"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师德好，负有爱心、耐心、责任心，具有指导大学生创新创业训练项目计划项目、社团活动，志愿公益活动等经验。</w:t>
            </w:r>
          </w:p>
        </w:tc>
        <w:tc>
          <w:tcPr>
            <w:tcW w:w="794"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173" w:type="dxa"/>
            <w:vMerge w:val="continue"/>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项目团队</w:t>
            </w:r>
          </w:p>
        </w:tc>
        <w:tc>
          <w:tcPr>
            <w:tcW w:w="6937"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鼓励跨学院、跨专业组建团队，建立相应的运行机制，保证项目可延续性。</w:t>
            </w:r>
          </w:p>
        </w:tc>
        <w:tc>
          <w:tcPr>
            <w:tcW w:w="794"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173" w:type="dxa"/>
            <w:vMerge w:val="restart"/>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支持</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（20分）</w:t>
            </w: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团队活动</w:t>
            </w:r>
          </w:p>
        </w:tc>
        <w:tc>
          <w:tcPr>
            <w:tcW w:w="6937" w:type="dxa"/>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按照项目要求开展实验、实训、实践等活动，学生参与度高，师生互动活跃。</w:t>
            </w:r>
          </w:p>
        </w:tc>
        <w:tc>
          <w:tcPr>
            <w:tcW w:w="794"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1173" w:type="dxa"/>
            <w:vMerge w:val="continue"/>
            <w:tcBorders>
              <w:tl2br w:val="nil"/>
              <w:tr2bl w:val="nil"/>
            </w:tcBorders>
            <w:shd w:val="clear" w:color="auto" w:fill="auto"/>
            <w:tcMar>
              <w:left w:w="75" w:type="dxa"/>
              <w:right w:w="75" w:type="dxa"/>
            </w:tcMar>
            <w:vAlign w:val="top"/>
          </w:tcPr>
          <w:p>
            <w:pPr>
              <w:jc w:val="both"/>
              <w:rPr>
                <w:rFonts w:hint="eastAsia" w:ascii="仿宋" w:hAnsi="仿宋" w:eastAsia="仿宋" w:cs="仿宋"/>
                <w:color w:val="000000"/>
                <w:kern w:val="2"/>
                <w:sz w:val="24"/>
                <w:szCs w:val="24"/>
                <w:lang w:val="en-US" w:eastAsia="zh-CN" w:bidi="ar-SA"/>
              </w:rPr>
            </w:pPr>
          </w:p>
        </w:tc>
        <w:tc>
          <w:tcPr>
            <w:tcW w:w="1332" w:type="dxa"/>
            <w:tcBorders>
              <w:tl2br w:val="nil"/>
              <w:tr2bl w:val="nil"/>
            </w:tcBorders>
            <w:shd w:val="clear" w:color="auto" w:fill="auto"/>
            <w:tcMar>
              <w:left w:w="75" w:type="dxa"/>
              <w:right w:w="7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持续改进</w:t>
            </w:r>
          </w:p>
        </w:tc>
        <w:tc>
          <w:tcPr>
            <w:tcW w:w="6937" w:type="dxa"/>
            <w:tcBorders>
              <w:tl2br w:val="nil"/>
              <w:tr2bl w:val="nil"/>
            </w:tcBorders>
            <w:shd w:val="clear" w:color="auto" w:fill="auto"/>
            <w:tcMar>
              <w:left w:w="75" w:type="dxa"/>
              <w:right w:w="75" w:type="dxa"/>
            </w:tcMar>
            <w:vAlign w:val="center"/>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建立实践效果评价机制，对社会实践内容、形式等进行持续改进。</w:t>
            </w:r>
          </w:p>
        </w:tc>
        <w:tc>
          <w:tcPr>
            <w:tcW w:w="794" w:type="dxa"/>
            <w:tcBorders>
              <w:tl2br w:val="nil"/>
              <w:tr2bl w:val="nil"/>
            </w:tcBorders>
            <w:shd w:val="clear" w:color="auto" w:fill="auto"/>
            <w:tcMar>
              <w:left w:w="75" w:type="dxa"/>
              <w:right w:w="7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10分</w:t>
            </w:r>
          </w:p>
        </w:tc>
      </w:tr>
    </w:tbl>
    <w:p>
      <w:pPr>
        <w:numPr>
          <w:ilvl w:val="0"/>
          <w:numId w:val="0"/>
        </w:numPr>
        <w:rPr>
          <w:rFonts w:hint="default" w:ascii="黑体" w:hAnsi="黑体" w:eastAsia="黑体" w:cs="黑体"/>
          <w:sz w:val="28"/>
          <w:szCs w:val="28"/>
          <w:lang w:val="en-US" w:eastAsia="zh-CN"/>
        </w:rPr>
      </w:pPr>
    </w:p>
    <w:p/>
    <w:sectPr>
      <w:pgSz w:w="11906" w:h="16838"/>
      <w:pgMar w:top="930" w:right="1800" w:bottom="986"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BE99D"/>
    <w:multiLevelType w:val="singleLevel"/>
    <w:tmpl w:val="9D3BE99D"/>
    <w:lvl w:ilvl="0" w:tentative="0">
      <w:start w:val="1"/>
      <w:numFmt w:val="bullet"/>
      <w:pStyle w:val="2"/>
      <w:lvlText w:val=""/>
      <w:lvlJc w:val="left"/>
      <w:pPr>
        <w:ind w:left="420" w:leftChars="0" w:hanging="420" w:firstLineChars="0"/>
      </w:pPr>
      <w:rPr>
        <w:rFonts w:hint="default" w:ascii="Wingdings" w:hAnsi="Wingdings"/>
        <w:color w:val="C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9518F"/>
    <w:rsid w:val="016D10F4"/>
    <w:rsid w:val="07F4329D"/>
    <w:rsid w:val="0BB3279D"/>
    <w:rsid w:val="0E0F5013"/>
    <w:rsid w:val="0F732972"/>
    <w:rsid w:val="1104780E"/>
    <w:rsid w:val="133C3A9B"/>
    <w:rsid w:val="18455148"/>
    <w:rsid w:val="18CE4A47"/>
    <w:rsid w:val="1A830F1E"/>
    <w:rsid w:val="2457130A"/>
    <w:rsid w:val="2A721B91"/>
    <w:rsid w:val="2E6644B7"/>
    <w:rsid w:val="308D3D38"/>
    <w:rsid w:val="32157B17"/>
    <w:rsid w:val="33D32A9C"/>
    <w:rsid w:val="369C2442"/>
    <w:rsid w:val="3F517D25"/>
    <w:rsid w:val="415C1BEC"/>
    <w:rsid w:val="426231AF"/>
    <w:rsid w:val="46142FE1"/>
    <w:rsid w:val="47314A1C"/>
    <w:rsid w:val="4898094F"/>
    <w:rsid w:val="4D375CCA"/>
    <w:rsid w:val="4E845B4F"/>
    <w:rsid w:val="50BC3581"/>
    <w:rsid w:val="50C13252"/>
    <w:rsid w:val="52B61DE3"/>
    <w:rsid w:val="53C834B4"/>
    <w:rsid w:val="55861362"/>
    <w:rsid w:val="589E28BC"/>
    <w:rsid w:val="6A710BCF"/>
    <w:rsid w:val="6BBA3CE0"/>
    <w:rsid w:val="74B2344A"/>
    <w:rsid w:val="75146FC4"/>
    <w:rsid w:val="75605EB9"/>
    <w:rsid w:val="77D1246D"/>
    <w:rsid w:val="7EC94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numPr>
        <w:ilvl w:val="0"/>
        <w:numId w:val="1"/>
      </w:numPr>
      <w:adjustRightInd w:val="0"/>
      <w:snapToGrid w:val="0"/>
      <w:spacing w:line="360" w:lineRule="auto"/>
      <w:ind w:left="0" w:firstLine="0" w:firstLineChars="0"/>
      <w:jc w:val="center"/>
      <w:outlineLvl w:val="0"/>
    </w:pPr>
    <w:rPr>
      <w:rFonts w:ascii="仿宋" w:hAnsi="仿宋" w:eastAsia="宋体" w:cs="Times New Roman"/>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240" w:lineRule="auto"/>
      <w:outlineLvl w:val="2"/>
    </w:pPr>
    <w:rPr>
      <w:rFonts w:ascii="仿宋" w:hAnsi="仿宋" w:eastAsia="仿宋"/>
      <w:b/>
      <w:sz w:val="24"/>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imes New Roman" w:hAnsi="Times New Roman" w:eastAsia="黑体" w:cs="Times New Roman"/>
      <w:b/>
      <w:sz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宋体" w:asciiTheme="majorAscii" w:hAnsiTheme="majorAscii" w:cstheme="majorBidi"/>
      <w:b/>
      <w:bCs/>
      <w:sz w:val="28"/>
      <w:szCs w:val="32"/>
    </w:rPr>
  </w:style>
  <w:style w:type="character" w:styleId="12">
    <w:name w:val="Strong"/>
    <w:basedOn w:val="11"/>
    <w:qFormat/>
    <w:uiPriority w:val="0"/>
    <w:rPr>
      <w:b/>
    </w:rPr>
  </w:style>
  <w:style w:type="character" w:customStyle="1" w:styleId="13">
    <w:name w:val="标题 1 Char"/>
    <w:basedOn w:val="11"/>
    <w:link w:val="2"/>
    <w:qFormat/>
    <w:uiPriority w:val="0"/>
    <w:rPr>
      <w:rFonts w:ascii="Times New Roman" w:hAnsi="Times New Roman" w:eastAsia="宋体" w:cs="Times New Roman"/>
      <w:b/>
      <w:bCs/>
      <w:kern w:val="44"/>
      <w:sz w:val="28"/>
      <w:szCs w:val="44"/>
    </w:rPr>
  </w:style>
  <w:style w:type="character" w:customStyle="1" w:styleId="14">
    <w:name w:val="标题 Char"/>
    <w:basedOn w:val="11"/>
    <w:link w:val="9"/>
    <w:qFormat/>
    <w:uiPriority w:val="0"/>
    <w:rPr>
      <w:rFonts w:eastAsia="宋体" w:asciiTheme="majorAscii" w:hAnsiTheme="majorAscii" w:cstheme="majorBidi"/>
      <w:b/>
      <w:bCs/>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2021-07-13T06:52:19Z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3D20F1D51F52449C8DE72241A2E47728</vt:lpwstr>
  </property>
</Properties>
</file>