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吉林建筑科技学院</w:t>
      </w:r>
    </w:p>
    <w:p>
      <w:pPr>
        <w:spacing w:line="576" w:lineRule="exact"/>
        <w:jc w:val="center"/>
        <w:rPr>
          <w:rFonts w:ascii="方正公文小标宋" w:hAnsi="方正公文小标宋" w:eastAsia="方正公文小标宋" w:cs="方正公文小标宋"/>
          <w:bCs/>
          <w:sz w:val="44"/>
          <w:szCs w:val="44"/>
          <w:lang w:val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zh-CN"/>
        </w:rPr>
        <w:t>课程免修管理规定</w:t>
      </w:r>
    </w:p>
    <w:p>
      <w:pPr>
        <w:spacing w:line="576" w:lineRule="exact"/>
        <w:jc w:val="center"/>
        <w:rPr>
          <w:rFonts w:ascii="仿宋" w:hAnsi="仿宋" w:eastAsia="仿宋"/>
          <w:b/>
          <w:sz w:val="28"/>
          <w:szCs w:val="28"/>
          <w:lang w:val="zh-CN"/>
        </w:rPr>
      </w:pPr>
    </w:p>
    <w:p>
      <w:pPr>
        <w:spacing w:line="576" w:lineRule="exact"/>
        <w:jc w:val="center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第一章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总则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为满足学生自主发展和提高学生创新创业能力，加强应用型人才培养，不断提高人才培养质量，结合学校实际，制定本规定。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本规定适用于学校普通全日制在校学生。</w:t>
      </w:r>
    </w:p>
    <w:p>
      <w:pPr>
        <w:spacing w:line="576" w:lineRule="exact"/>
        <w:jc w:val="center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第二章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免修范围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符合下列条件的学生，可申请免修相应课程：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1.通过自学等途径，对培养方案规定的某门必修课程（思想政治类、体育类、实践类课程或带有课内实验、相对应课程设计环节的课程除外），</w:t>
      </w:r>
      <w:r>
        <w:rPr>
          <w:rFonts w:hint="eastAsia" w:ascii="仿宋_GB2312" w:hAnsi="仿宋" w:eastAsia="仿宋_GB2312" w:cs="仿宋"/>
          <w:sz w:val="32"/>
          <w:szCs w:val="32"/>
        </w:rPr>
        <w:t>已全面深入理解和熟练掌握课程内容的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学生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每学期申请免修课程不超过2门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；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2.由于身体原因不能进行剧烈体育运动的学生或身体残疾的学生；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3.应征入伍服役期满复学的学生；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4.从外校转学到我校的学生；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5.其他经认定同意的学生。</w:t>
      </w:r>
    </w:p>
    <w:p>
      <w:pPr>
        <w:spacing w:line="576" w:lineRule="exact"/>
        <w:jc w:val="center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第三章  成绩认定与记载</w:t>
      </w:r>
    </w:p>
    <w:p>
      <w:pPr>
        <w:spacing w:line="576" w:lineRule="exact"/>
        <w:ind w:firstLine="640"/>
        <w:jc w:val="left"/>
        <w:rPr>
          <w:rFonts w:ascii="仿宋_GB2312" w:hAnsi="仿宋" w:eastAsia="仿宋_GB2312" w:cs="仿宋"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zh-CN"/>
        </w:rPr>
        <w:t>第四条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 xml:space="preserve">  符合第三条第1款的学生，可免修相关课程的学习环节，直接参加课程考核，平时成绩不予记载，总评成绩以期末卷面成绩为记载依据。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zh-CN"/>
        </w:rPr>
        <w:t>第五条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符合第三条第2款的学生，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可免修体育课程，成绩按及格记载。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符合第三条第3款的学生，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可免修</w:t>
      </w:r>
      <w:r>
        <w:rPr>
          <w:rFonts w:hint="eastAsia" w:ascii="仿宋_GB2312" w:hAnsi="仿宋" w:eastAsia="仿宋_GB2312" w:cs="仿宋"/>
          <w:sz w:val="32"/>
          <w:szCs w:val="32"/>
        </w:rPr>
        <w:t>通识教育中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思想政治</w:t>
      </w:r>
      <w:r>
        <w:rPr>
          <w:rFonts w:hint="eastAsia" w:ascii="仿宋_GB2312" w:hAnsi="仿宋" w:eastAsia="仿宋_GB2312" w:cs="仿宋"/>
          <w:sz w:val="32"/>
          <w:szCs w:val="32"/>
        </w:rPr>
        <w:t>类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、军事体育类</w:t>
      </w:r>
      <w:r>
        <w:rPr>
          <w:rFonts w:hint="eastAsia" w:ascii="仿宋_GB2312" w:hAnsi="仿宋" w:eastAsia="仿宋_GB2312" w:cs="仿宋"/>
          <w:sz w:val="32"/>
          <w:szCs w:val="32"/>
        </w:rPr>
        <w:t>必修课程和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人文</w:t>
      </w:r>
      <w:r>
        <w:rPr>
          <w:rFonts w:hint="eastAsia" w:ascii="仿宋_GB2312" w:hAnsi="仿宋" w:eastAsia="仿宋_GB2312" w:cs="仿宋"/>
          <w:sz w:val="32"/>
          <w:szCs w:val="32"/>
        </w:rPr>
        <w:t>社会科学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类</w:t>
      </w:r>
      <w:r>
        <w:rPr>
          <w:rFonts w:hint="eastAsia" w:ascii="仿宋_GB2312" w:hAnsi="仿宋" w:eastAsia="仿宋_GB2312" w:cs="仿宋"/>
          <w:sz w:val="32"/>
          <w:szCs w:val="32"/>
        </w:rPr>
        <w:t>选修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课程及素质拓展教育环节课程，成绩按90分或优秀记载。</w:t>
      </w:r>
    </w:p>
    <w:p>
      <w:pPr>
        <w:widowControl/>
        <w:adjustRightInd w:val="0"/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第七条</w:t>
      </w: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符合第三条第4款的学生，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转学前所修课程与我校专业人才培养方案相关课程进行匹配，达到要求的课程给予免修，成绩按原学校课程实际取得成绩记载；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课程内容差异较大，超过1/3内容不匹配的课程不予免修。</w:t>
      </w:r>
    </w:p>
    <w:p>
      <w:pPr>
        <w:spacing w:line="576" w:lineRule="exact"/>
        <w:jc w:val="center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第四章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课程免修办理程序及原则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 xml:space="preserve">第八条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学生于每学期开学初前二周填写《课程免修申请表》（应征入伍服役期满复学的学生于复学后10个工作日内办理），附相关证明材料，经学生所在学院、开课学院（部）、相关部门审核后，报教务处审批并执行。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zh-CN"/>
        </w:rPr>
        <w:t>第九条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证明材料主要包括：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由于身体原因不能进行剧烈体育运动的学生，提供二级甲等及以上级别医院证明；残疾学生需提供残疾证。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2.应征入伍服役期满复学的学生，提供退役证明。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zh-CN"/>
        </w:rPr>
        <w:t>第十条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学生必须如实提供免修课程的证明材料，弄虚作假者一经查实，除取消课程免修资格外，学校将给予相应的纪律处分。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zh-CN"/>
        </w:rPr>
        <w:t>第十一条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经过审批确认的课程免修申请，由教务处统一告知开课学院（部）。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zh-CN"/>
        </w:rPr>
        <w:t>第十二条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其他经认定同意的学生，需经主管教学副校长审批同意，方可办理相关手续。</w:t>
      </w:r>
    </w:p>
    <w:p>
      <w:pPr>
        <w:spacing w:line="576" w:lineRule="exact"/>
        <w:jc w:val="center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第五章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附则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 xml:space="preserve">第十三条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本规定由教务处负责解释。</w:t>
      </w:r>
    </w:p>
    <w:p>
      <w:pPr>
        <w:spacing w:line="576" w:lineRule="exact"/>
        <w:ind w:firstLine="643" w:firstLineChars="200"/>
        <w:jc w:val="left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 xml:space="preserve">第十四条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本规定自公布之日起施行。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附件1：吉林建筑科技学院课程免修申请表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附件2：吉林建筑科技学院本科退伍学生课程免修申请表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附件3：吉林建筑科技学院专升本退伍学生课程免修申请表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附件4：吉林建筑科技学院专科退伍学生课程免修申请表</w:t>
      </w: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76" w:lineRule="exact"/>
        <w:ind w:firstLine="5120" w:firstLineChars="1600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吉林建筑科技学院</w:t>
      </w:r>
    </w:p>
    <w:p>
      <w:pPr>
        <w:widowControl/>
        <w:spacing w:line="576" w:lineRule="exact"/>
        <w:ind w:firstLine="5120" w:firstLineChars="16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2024年5月13日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cs="仿宋" w:asciiTheme="minorEastAsia" w:hAnsiTheme="minorEastAsia" w:eastAsiaTheme="minorEastAsia"/>
          <w:szCs w:val="21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附件1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课 程 免 修 申 请 表</w:t>
      </w:r>
    </w:p>
    <w:tbl>
      <w:tblPr>
        <w:tblStyle w:val="5"/>
        <w:tblW w:w="88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7"/>
        <w:gridCol w:w="1276"/>
        <w:gridCol w:w="1147"/>
        <w:gridCol w:w="540"/>
        <w:gridCol w:w="723"/>
        <w:gridCol w:w="567"/>
        <w:gridCol w:w="15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 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所在学院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   业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   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申请免修课程名称</w:t>
            </w:r>
          </w:p>
        </w:tc>
        <w:tc>
          <w:tcPr>
            <w:tcW w:w="584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时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 分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课程类别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申请理由</w:t>
            </w:r>
          </w:p>
        </w:tc>
        <w:tc>
          <w:tcPr>
            <w:tcW w:w="7560" w:type="dxa"/>
            <w:gridSpan w:val="7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（附佐证材料）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申请人：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审批人：                 年    月    日</w:t>
            </w:r>
          </w:p>
          <w:p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医务室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（因身体原因申请课程免修的学生）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审批人：                 年    月    日</w:t>
            </w:r>
          </w:p>
          <w:p>
            <w:pPr>
              <w:ind w:firstLine="2160" w:firstLineChars="90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教务处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审批人：                 年    月    日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4320"/>
        </w:tabs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注：审批确认的课程免修申请，由教务处统一告知开课学院（部）。</w:t>
      </w:r>
    </w:p>
    <w:p>
      <w:pPr>
        <w:tabs>
          <w:tab w:val="left" w:pos="4320"/>
        </w:tabs>
        <w:jc w:val="left"/>
        <w:rPr>
          <w:rFonts w:cs="仿宋" w:asciiTheme="minorEastAsia" w:hAnsiTheme="minorEastAsia" w:eastAsiaTheme="minorEastAsia"/>
          <w:szCs w:val="21"/>
        </w:rPr>
      </w:pPr>
    </w:p>
    <w:p>
      <w:pPr>
        <w:tabs>
          <w:tab w:val="left" w:pos="4320"/>
        </w:tabs>
        <w:jc w:val="left"/>
        <w:rPr>
          <w:rFonts w:cs="仿宋" w:asciiTheme="minorEastAsia" w:hAnsiTheme="minorEastAsia" w:eastAsiaTheme="minorEastAsia"/>
          <w:szCs w:val="21"/>
        </w:rPr>
      </w:pPr>
    </w:p>
    <w:p>
      <w:pPr>
        <w:jc w:val="left"/>
        <w:rPr>
          <w:rFonts w:hint="eastAsia" w:cs="仿宋" w:asciiTheme="minorEastAsia" w:hAnsiTheme="minorEastAsia" w:eastAsiaTheme="minorEastAsia"/>
          <w:szCs w:val="21"/>
        </w:rPr>
      </w:pPr>
    </w:p>
    <w:p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本科退伍学生课程免修申请表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>20  -20   学年 第  学期</w:t>
      </w:r>
    </w:p>
    <w:tbl>
      <w:tblPr>
        <w:tblStyle w:val="5"/>
        <w:tblW w:w="96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339"/>
        <w:gridCol w:w="660"/>
        <w:gridCol w:w="1770"/>
        <w:gridCol w:w="880"/>
        <w:gridCol w:w="1040"/>
        <w:gridCol w:w="1750"/>
        <w:gridCol w:w="10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学生本人签字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学分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课程类别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开课学期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开课单位</w:t>
            </w: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思想道德与法治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中国近现代史纲要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马克思主义基本原理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形势与政策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1/3/5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学习筑梦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2/4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党史/新中国史/改革开放史/社会主义发展史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军事理论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军训及入学教育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实践课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学工处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素质拓展教育环节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1-8（10）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中国古代史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中国古典小说巅峰：四大名著鉴赏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经济与社会：如何用决策思维洞察生活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4" w:hRule="atLeast"/>
          <w:jc w:val="center"/>
        </w:trPr>
        <w:tc>
          <w:tcPr>
            <w:tcW w:w="4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学生所在学院审批：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47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教务处审批：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月   日</w:t>
            </w:r>
          </w:p>
        </w:tc>
      </w:tr>
    </w:tbl>
    <w:p>
      <w:pPr>
        <w:tabs>
          <w:tab w:val="left" w:pos="4320"/>
        </w:tabs>
        <w:jc w:val="left"/>
        <w:rPr>
          <w:sz w:val="22"/>
        </w:rPr>
      </w:pPr>
      <w:r>
        <w:rPr>
          <w:rFonts w:hint="eastAsia"/>
          <w:sz w:val="22"/>
        </w:rPr>
        <w:t>注：1.退伍学生根据个人意愿在申请免修的课程后签字；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2.</w:t>
      </w:r>
      <w:r>
        <w:rPr>
          <w:rFonts w:hint="eastAsia"/>
          <w:sz w:val="22"/>
        </w:rPr>
        <w:t>此表需在办理复学后10个工作日内申请完毕。</w:t>
      </w:r>
    </w:p>
    <w:p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</w:t>
      </w:r>
      <w:r>
        <w:rPr>
          <w:rFonts w:cs="仿宋" w:asciiTheme="minorEastAsia" w:hAnsiTheme="minorEastAsia" w:eastAsiaTheme="minorEastAsia"/>
          <w:szCs w:val="21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专升本退伍学生课程免修申请表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  -20   学年 第  学期</w:t>
      </w:r>
    </w:p>
    <w:tbl>
      <w:tblPr>
        <w:tblStyle w:val="5"/>
        <w:tblW w:w="96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339"/>
        <w:gridCol w:w="660"/>
        <w:gridCol w:w="1770"/>
        <w:gridCol w:w="880"/>
        <w:gridCol w:w="1040"/>
        <w:gridCol w:w="1750"/>
        <w:gridCol w:w="10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学生本人签字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学分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课程类别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开课学期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开课单位</w:t>
            </w: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中国近现代史纲要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马克思主义基本原理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素质拓展教育环节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中国古代史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中国古典小说巅峰：四大名著鉴赏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4" w:hRule="atLeast"/>
          <w:jc w:val="center"/>
        </w:trPr>
        <w:tc>
          <w:tcPr>
            <w:tcW w:w="4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学生所在学院审批：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47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教务处审批：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月   日</w:t>
            </w:r>
          </w:p>
        </w:tc>
      </w:tr>
    </w:tbl>
    <w:p>
      <w:pPr>
        <w:tabs>
          <w:tab w:val="left" w:pos="4320"/>
        </w:tabs>
        <w:jc w:val="left"/>
        <w:rPr>
          <w:sz w:val="22"/>
        </w:rPr>
      </w:pPr>
      <w:r>
        <w:rPr>
          <w:rFonts w:hint="eastAsia"/>
          <w:sz w:val="22"/>
        </w:rPr>
        <w:t>注：1.退伍学生根据个人意愿在申请免修的课程后签字；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2.</w:t>
      </w:r>
      <w:r>
        <w:rPr>
          <w:rFonts w:hint="eastAsia"/>
          <w:sz w:val="22"/>
        </w:rPr>
        <w:t>此表需在办理复学后10个工作日内申请完毕。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2"/>
        </w:rPr>
      </w:pPr>
    </w:p>
    <w:p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</w:t>
      </w:r>
      <w:r>
        <w:rPr>
          <w:rFonts w:cs="仿宋" w:asciiTheme="minorEastAsia" w:hAnsiTheme="minorEastAsia" w:eastAsiaTheme="minorEastAsia"/>
          <w:szCs w:val="21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专科退伍学生课程免修申请表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>20  -20   学年 第  学期</w:t>
      </w:r>
    </w:p>
    <w:tbl>
      <w:tblPr>
        <w:tblStyle w:val="5"/>
        <w:tblW w:w="96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339"/>
        <w:gridCol w:w="660"/>
        <w:gridCol w:w="1770"/>
        <w:gridCol w:w="880"/>
        <w:gridCol w:w="1040"/>
        <w:gridCol w:w="1750"/>
        <w:gridCol w:w="10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学生本人签字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学分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课程类别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开课学期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开课单位</w:t>
            </w: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思想道德与法治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毛泽东思想和中国特色社会主义理论体系概论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习近平新时代中国特色社会主义思想概论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形势与政策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1/3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体育1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体育2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体育3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体育4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军事理论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军训及入学教育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实践课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学工处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素质拓展教育环节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素质拓展类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1-6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团委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学习筑梦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2/4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党史/新中国史/改革开放史/社会主义发展史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ascii="楷体" w:hAnsi="楷体" w:eastAsia="楷体"/>
                <w:sz w:val="24"/>
              </w:rPr>
              <w:t>中国古代礼仪文明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2-5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经济与社会：如何用决策思维洞察生活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通识教育（选修）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2-5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学生所在学院审批：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47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教务处审批：</w:t>
            </w: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审批人签字：</w:t>
            </w:r>
          </w:p>
          <w:p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月   日</w:t>
            </w:r>
          </w:p>
        </w:tc>
      </w:tr>
    </w:tbl>
    <w:p>
      <w:pPr>
        <w:tabs>
          <w:tab w:val="left" w:pos="4320"/>
        </w:tabs>
        <w:jc w:val="left"/>
        <w:rPr>
          <w:sz w:val="22"/>
        </w:rPr>
      </w:pPr>
      <w:r>
        <w:rPr>
          <w:rFonts w:hint="eastAsia"/>
          <w:sz w:val="22"/>
        </w:rPr>
        <w:t>注：1.退伍学生根据个人意愿在申请免修的课程后签字；</w:t>
      </w:r>
    </w:p>
    <w:p>
      <w:pPr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</w:rPr>
        <w:t>2.此表需在办理复学后10个工作日内申请完毕。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FDFC7-D33C-41BE-AC9A-6AF588675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2D07F6-E9E5-4B94-BAE7-79F22A28C1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00C3326-29BE-4405-B3CC-D77C5A073E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9D71D7-21CE-4410-A44B-DA0CD335CE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8BE27C8-5A12-4A2D-9A32-0B76E600D3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C0BF0C6-5D4E-4829-A8E6-A5C0E41B7929}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7" w:fontKey="{6A72F534-6554-454C-A442-9DF56BB9A1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00A2092B"/>
    <w:rsid w:val="00013C0E"/>
    <w:rsid w:val="00020D8E"/>
    <w:rsid w:val="00043185"/>
    <w:rsid w:val="00053D50"/>
    <w:rsid w:val="000673A9"/>
    <w:rsid w:val="0016501E"/>
    <w:rsid w:val="00170CA6"/>
    <w:rsid w:val="0026084D"/>
    <w:rsid w:val="00281040"/>
    <w:rsid w:val="002B560C"/>
    <w:rsid w:val="0032182B"/>
    <w:rsid w:val="00336640"/>
    <w:rsid w:val="003457D2"/>
    <w:rsid w:val="00384AE2"/>
    <w:rsid w:val="003C1889"/>
    <w:rsid w:val="003D11FE"/>
    <w:rsid w:val="003D5ED0"/>
    <w:rsid w:val="003E760D"/>
    <w:rsid w:val="004058D3"/>
    <w:rsid w:val="004249E6"/>
    <w:rsid w:val="00481E36"/>
    <w:rsid w:val="00534E86"/>
    <w:rsid w:val="00535A2D"/>
    <w:rsid w:val="00545881"/>
    <w:rsid w:val="00557C60"/>
    <w:rsid w:val="005A37E8"/>
    <w:rsid w:val="00607019"/>
    <w:rsid w:val="00646E53"/>
    <w:rsid w:val="007037F7"/>
    <w:rsid w:val="00721915"/>
    <w:rsid w:val="00723A7D"/>
    <w:rsid w:val="0072483C"/>
    <w:rsid w:val="007717A9"/>
    <w:rsid w:val="00787316"/>
    <w:rsid w:val="007B7952"/>
    <w:rsid w:val="007C366F"/>
    <w:rsid w:val="007D5365"/>
    <w:rsid w:val="007F0E57"/>
    <w:rsid w:val="00835591"/>
    <w:rsid w:val="0086052A"/>
    <w:rsid w:val="00862F13"/>
    <w:rsid w:val="0086708E"/>
    <w:rsid w:val="008677C9"/>
    <w:rsid w:val="00881D67"/>
    <w:rsid w:val="008D59B3"/>
    <w:rsid w:val="008F4048"/>
    <w:rsid w:val="009020DD"/>
    <w:rsid w:val="00905F2A"/>
    <w:rsid w:val="00930F06"/>
    <w:rsid w:val="009746A4"/>
    <w:rsid w:val="009821BE"/>
    <w:rsid w:val="009850D0"/>
    <w:rsid w:val="00997BA6"/>
    <w:rsid w:val="009D0EAE"/>
    <w:rsid w:val="009F744E"/>
    <w:rsid w:val="00A2092B"/>
    <w:rsid w:val="00A255B8"/>
    <w:rsid w:val="00A42372"/>
    <w:rsid w:val="00A64F30"/>
    <w:rsid w:val="00A73E5A"/>
    <w:rsid w:val="00AB1812"/>
    <w:rsid w:val="00AB6B0A"/>
    <w:rsid w:val="00AE128E"/>
    <w:rsid w:val="00B04E61"/>
    <w:rsid w:val="00B37F92"/>
    <w:rsid w:val="00BF38FC"/>
    <w:rsid w:val="00C06BF3"/>
    <w:rsid w:val="00C25E2F"/>
    <w:rsid w:val="00C36B38"/>
    <w:rsid w:val="00C71F57"/>
    <w:rsid w:val="00C83253"/>
    <w:rsid w:val="00CA0C60"/>
    <w:rsid w:val="00D1795F"/>
    <w:rsid w:val="00D46802"/>
    <w:rsid w:val="00D727F7"/>
    <w:rsid w:val="00D82DFB"/>
    <w:rsid w:val="00DA3BDF"/>
    <w:rsid w:val="00DC1467"/>
    <w:rsid w:val="00DD492F"/>
    <w:rsid w:val="00DF433A"/>
    <w:rsid w:val="00E53023"/>
    <w:rsid w:val="00E74FC5"/>
    <w:rsid w:val="00EE3BF0"/>
    <w:rsid w:val="00F31AD9"/>
    <w:rsid w:val="00F47A6F"/>
    <w:rsid w:val="00F71E67"/>
    <w:rsid w:val="00FC2AD6"/>
    <w:rsid w:val="00FC75D2"/>
    <w:rsid w:val="00FD7076"/>
    <w:rsid w:val="00FF4CB0"/>
    <w:rsid w:val="024912E2"/>
    <w:rsid w:val="03F67248"/>
    <w:rsid w:val="06206ACD"/>
    <w:rsid w:val="06DE349B"/>
    <w:rsid w:val="12BF7236"/>
    <w:rsid w:val="2B593E6A"/>
    <w:rsid w:val="2CCF418F"/>
    <w:rsid w:val="2D6706EB"/>
    <w:rsid w:val="2DB966DB"/>
    <w:rsid w:val="31C3610C"/>
    <w:rsid w:val="31DC7DE2"/>
    <w:rsid w:val="32AC66DA"/>
    <w:rsid w:val="32FF13C6"/>
    <w:rsid w:val="441B6597"/>
    <w:rsid w:val="461D4A07"/>
    <w:rsid w:val="4881611D"/>
    <w:rsid w:val="4B321EE0"/>
    <w:rsid w:val="4F0F2539"/>
    <w:rsid w:val="5AD7294C"/>
    <w:rsid w:val="5C034C71"/>
    <w:rsid w:val="60B371C8"/>
    <w:rsid w:val="67F00D02"/>
    <w:rsid w:val="71775FF0"/>
    <w:rsid w:val="7386076C"/>
    <w:rsid w:val="77364257"/>
    <w:rsid w:val="7BE424D4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2558</Words>
  <Characters>2642</Characters>
  <Lines>24</Lines>
  <Paragraphs>7</Paragraphs>
  <TotalTime>7</TotalTime>
  <ScaleCrop>false</ScaleCrop>
  <LinksUpToDate>false</LinksUpToDate>
  <CharactersWithSpaces>2964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2018-10-31T00:55:00Z</dcterms:created>
  <dc:creator>郭瑶</dc:creator>
  <cp:lastModifiedBy>莹如</cp:lastModifiedBy>
  <dcterms:modified xsi:type="dcterms:W3CDTF">2024-05-11T06:38:41Z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69296E8693864F13AB22FB95D5DFF350_13</vt:lpwstr>
  </property>
</Properties>
</file>