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B0F44"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附件2：</w:t>
      </w:r>
    </w:p>
    <w:p w14:paraId="3A85602C" w14:textId="77777777" w:rsidR="00913682" w:rsidRDefault="00913682" w:rsidP="00913682">
      <w:pPr>
        <w:spacing w:line="360" w:lineRule="auto"/>
        <w:jc w:val="center"/>
        <w:rPr>
          <w:rFonts w:ascii="黑体" w:eastAsia="黑体" w:hAnsi="黑体" w:cs="黑体" w:hint="eastAsia"/>
          <w:bCs/>
          <w:sz w:val="28"/>
          <w:szCs w:val="28"/>
        </w:rPr>
      </w:pPr>
      <w:r>
        <w:rPr>
          <w:rFonts w:ascii="黑体" w:eastAsia="黑体" w:hAnsi="黑体" w:cs="黑体" w:hint="eastAsia"/>
          <w:bCs/>
          <w:sz w:val="28"/>
          <w:szCs w:val="28"/>
        </w:rPr>
        <w:t>第十七届</w:t>
      </w:r>
      <w:r>
        <w:rPr>
          <w:rFonts w:ascii="黑体" w:eastAsia="黑体" w:hAnsi="黑体" w:cs="黑体"/>
          <w:bCs/>
          <w:sz w:val="28"/>
          <w:szCs w:val="28"/>
        </w:rPr>
        <w:t>“挑战杯”全国大学生课外学术科技作品</w:t>
      </w:r>
      <w:r>
        <w:rPr>
          <w:rFonts w:ascii="黑体" w:eastAsia="黑体" w:hAnsi="黑体" w:cs="黑体" w:hint="eastAsia"/>
          <w:bCs/>
          <w:sz w:val="28"/>
          <w:szCs w:val="28"/>
        </w:rPr>
        <w:t>竞赛</w:t>
      </w:r>
    </w:p>
    <w:p w14:paraId="29C741DE" w14:textId="77777777" w:rsidR="00913682" w:rsidRDefault="00913682" w:rsidP="00913682">
      <w:pPr>
        <w:spacing w:line="360" w:lineRule="auto"/>
        <w:jc w:val="center"/>
        <w:rPr>
          <w:rFonts w:ascii="黑体" w:eastAsia="黑体" w:hAnsi="黑体" w:cs="黑体" w:hint="eastAsia"/>
          <w:bCs/>
          <w:sz w:val="28"/>
          <w:szCs w:val="28"/>
        </w:rPr>
      </w:pPr>
      <w:r>
        <w:rPr>
          <w:rFonts w:ascii="黑体" w:eastAsia="黑体" w:hAnsi="黑体" w:cs="黑体" w:hint="eastAsia"/>
          <w:bCs/>
          <w:sz w:val="28"/>
          <w:szCs w:val="28"/>
        </w:rPr>
        <w:t>评审规则</w:t>
      </w:r>
    </w:p>
    <w:p w14:paraId="5C36A455" w14:textId="77777777" w:rsidR="00913682" w:rsidRDefault="00913682" w:rsidP="00913682">
      <w:pPr>
        <w:spacing w:line="360" w:lineRule="auto"/>
        <w:jc w:val="center"/>
        <w:rPr>
          <w:rFonts w:ascii="宋体" w:hAnsi="宋体" w:cs="宋体" w:hint="eastAsia"/>
          <w:sz w:val="24"/>
        </w:rPr>
      </w:pPr>
      <w:r>
        <w:rPr>
          <w:rFonts w:ascii="宋体" w:hAnsi="宋体" w:cs="宋体" w:hint="eastAsia"/>
          <w:sz w:val="24"/>
        </w:rPr>
        <w:t>(经第十七届“挑战杯”竞赛组委会第一次全体会议通过)</w:t>
      </w:r>
    </w:p>
    <w:p w14:paraId="374B440B" w14:textId="77777777" w:rsidR="00913682" w:rsidRDefault="00913682" w:rsidP="00913682">
      <w:pPr>
        <w:spacing w:line="360" w:lineRule="auto"/>
        <w:jc w:val="center"/>
        <w:rPr>
          <w:rFonts w:ascii="宋体" w:hAnsi="宋体" w:cs="宋体" w:hint="eastAsia"/>
          <w:sz w:val="24"/>
        </w:rPr>
      </w:pPr>
    </w:p>
    <w:p w14:paraId="5D7E3ACD" w14:textId="77777777" w:rsidR="00913682" w:rsidRDefault="00913682" w:rsidP="00913682">
      <w:pPr>
        <w:spacing w:line="360" w:lineRule="auto"/>
        <w:ind w:firstLineChars="200" w:firstLine="560"/>
        <w:rPr>
          <w:rFonts w:ascii="宋体" w:hAnsi="宋体" w:cs="宋体" w:hint="eastAsia"/>
          <w:sz w:val="28"/>
          <w:szCs w:val="28"/>
        </w:rPr>
      </w:pPr>
      <w:r>
        <w:rPr>
          <w:rFonts w:ascii="宋体" w:hAnsi="宋体" w:cs="宋体" w:hint="eastAsia"/>
          <w:sz w:val="28"/>
          <w:szCs w:val="28"/>
        </w:rPr>
        <w:t>一、本规则依据《“挑战杯”全国大学生课外学术科技作品竞赛章程》制定，全国评审委员会依据本规则制定评审实施细则。</w:t>
      </w:r>
    </w:p>
    <w:p w14:paraId="4EA2BE63" w14:textId="77777777" w:rsidR="00913682" w:rsidRDefault="00913682" w:rsidP="00913682">
      <w:pPr>
        <w:spacing w:line="360" w:lineRule="auto"/>
        <w:ind w:firstLineChars="200" w:firstLine="560"/>
        <w:rPr>
          <w:rFonts w:ascii="宋体" w:hAnsi="宋体" w:cs="宋体" w:hint="eastAsia"/>
          <w:sz w:val="28"/>
          <w:szCs w:val="28"/>
        </w:rPr>
      </w:pPr>
      <w:r>
        <w:rPr>
          <w:rFonts w:ascii="宋体" w:hAnsi="宋体" w:cs="宋体" w:hint="eastAsia"/>
          <w:sz w:val="28"/>
          <w:szCs w:val="28"/>
        </w:rPr>
        <w:t>二、全国评审委员会的组成</w:t>
      </w:r>
    </w:p>
    <w:p w14:paraId="546EB5BA"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1.全国评审委员会由主办单位聘请非高校的具有高级职称的自然科学领域的专家或高科技企业的技术骨干和哲学社会科学领域的专家组成。</w:t>
      </w:r>
    </w:p>
    <w:p w14:paraId="363E91A3"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2.全国评审委员会设主任一名，常务副主任二名，副主任若干名，秘书长一名，副秘书长若干名。下设若干专业组，各组设组长一至二名。</w:t>
      </w:r>
    </w:p>
    <w:p w14:paraId="1965F7BA"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3.全国评审委员会下设由秘书长领导的秘书处，负责对参赛作品分类、统计、送阅和评审的组织服务工作。</w:t>
      </w:r>
    </w:p>
    <w:p w14:paraId="77DD686B"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4.全国评审委员会成员名单在终审完毕之前实行保密，在终审结束后可以公布。</w:t>
      </w:r>
    </w:p>
    <w:p w14:paraId="03FBC683"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5.全国评审委员会在向全国组织委员会报告终审结果后解散。</w:t>
      </w:r>
    </w:p>
    <w:p w14:paraId="6CFB49F5" w14:textId="77777777" w:rsidR="00913682" w:rsidRDefault="00913682" w:rsidP="00913682">
      <w:pPr>
        <w:spacing w:line="360" w:lineRule="auto"/>
        <w:ind w:firstLineChars="200" w:firstLine="560"/>
        <w:rPr>
          <w:rFonts w:ascii="宋体" w:hAnsi="宋体" w:cs="宋体" w:hint="eastAsia"/>
          <w:sz w:val="28"/>
          <w:szCs w:val="28"/>
        </w:rPr>
      </w:pPr>
      <w:r>
        <w:rPr>
          <w:rFonts w:ascii="宋体" w:hAnsi="宋体" w:cs="宋体" w:hint="eastAsia"/>
          <w:sz w:val="28"/>
          <w:szCs w:val="28"/>
        </w:rPr>
        <w:t>三、评审工作的基本原则</w:t>
      </w:r>
    </w:p>
    <w:p w14:paraId="7F5128F2"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1．参赛作品分自然科学类学术论文、哲学社会科学类社会调查报告和学术论文、科技发明制作三类。自然科学类学术论文的作者限本专科生。哲学社会科学</w:t>
      </w:r>
      <w:proofErr w:type="gramStart"/>
      <w:r>
        <w:rPr>
          <w:rFonts w:ascii="宋体" w:hAnsi="宋体" w:cs="宋体" w:hint="eastAsia"/>
          <w:sz w:val="24"/>
        </w:rPr>
        <w:t>类支持</w:t>
      </w:r>
      <w:proofErr w:type="gramEnd"/>
      <w:r>
        <w:rPr>
          <w:rFonts w:ascii="宋体" w:hAnsi="宋体" w:cs="宋体" w:hint="eastAsia"/>
          <w:sz w:val="24"/>
        </w:rPr>
        <w:t>围绕发展成就、文明文化、美丽中国、民生福祉、中国之治和</w:t>
      </w:r>
      <w:proofErr w:type="gramStart"/>
      <w:r>
        <w:rPr>
          <w:rFonts w:ascii="宋体" w:hAnsi="宋体" w:cs="宋体" w:hint="eastAsia"/>
          <w:sz w:val="24"/>
        </w:rPr>
        <w:t>战疫</w:t>
      </w:r>
      <w:proofErr w:type="gramEnd"/>
      <w:r>
        <w:rPr>
          <w:rFonts w:ascii="宋体" w:hAnsi="宋体" w:cs="宋体" w:hint="eastAsia"/>
          <w:sz w:val="24"/>
        </w:rPr>
        <w:t>行动6个组别形成社会调查报告，也可以按照哲学、经济、社会、法律、教育、管理6个学科报送社会调查报告和学术论文。</w:t>
      </w:r>
    </w:p>
    <w:p w14:paraId="679CD04F"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2.评审过程中综合考虑作品的科学性、先进性、现实意义等方面因素。其中，自然科学类学术论文侧重考核基础学科学术探索的前沿性和学术性,哲学社会科学类社会调查报告和学术论文侧重考核与经济社会发展热点难点问题的结合程度和前瞻意义，科技发明制作侧重考核作品的应用价值和转化前景。</w:t>
      </w:r>
    </w:p>
    <w:p w14:paraId="05F06568"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lastRenderedPageBreak/>
        <w:t>3.全国评审委员会的评审工作分预审、终审两阶段进行。预审要评选出省级组织协调委员会和发起高校报送的80%左右的作品入围获奖作品；评出入围作品中的65%获得三等奖，其余35%进入终审决赛。终审决赛评出特等奖、一等奖、二等奖。</w:t>
      </w:r>
    </w:p>
    <w:p w14:paraId="726F002C"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参赛的自然科学类学术论文、哲学社会科学类社会调查报告和学术论文、科技发明制作三类作品分别按照入围作品 3%8%、24%、65%的比例评出特等奖、一等奖、二等奖、三等奖。科技发明制作类中A类和B类作品分别按上述比例设奖。各奖励等级之间的标准是相对的。同时为激发学生参与基础学科、小众学科的热情,终审决赛各分类小组原则上至少有1件特等奖和1件一等奖。预审和终审前，组委会根据作品数量等确定各分类小组授奖数量。</w:t>
      </w:r>
    </w:p>
    <w:p w14:paraId="27669D6F"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4.评审注意本专科生、硕士研究生在学识水平和科研能力上的差异,两个学历层次作者的作品各等奖的获奖比例与其进入终审的比例基本一致。</w:t>
      </w:r>
    </w:p>
    <w:p w14:paraId="26B27222"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5．涉及需由有关部门出具证明材料的参赛作品，须按章程第三章第二十条的规定严格把关。</w:t>
      </w:r>
    </w:p>
    <w:p w14:paraId="26D14EC8"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6.评审实行回避制度和保密制度。评委须严格遵守《评审纪律》，评审前须签订《评审纪律承诺书》。评委不得参与其本人亲属、学生或与其有直接利益关系的个人和单位的有关作品评审工作。在评审结束之前，任何评委不得以任何方式对外宣布、泄露评审情况和结果。</w:t>
      </w:r>
    </w:p>
    <w:p w14:paraId="46C80C9F"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7.全国评审委员会的评审工作按《评审实施细则》规定执行。</w:t>
      </w:r>
    </w:p>
    <w:p w14:paraId="039911EC" w14:textId="77777777" w:rsidR="00913682" w:rsidRDefault="00913682" w:rsidP="00913682">
      <w:pPr>
        <w:spacing w:line="360" w:lineRule="auto"/>
        <w:ind w:firstLineChars="200" w:firstLine="560"/>
        <w:rPr>
          <w:rFonts w:ascii="宋体" w:hAnsi="宋体" w:cs="宋体" w:hint="eastAsia"/>
          <w:sz w:val="28"/>
          <w:szCs w:val="28"/>
        </w:rPr>
      </w:pPr>
      <w:r>
        <w:rPr>
          <w:rFonts w:ascii="宋体" w:hAnsi="宋体" w:cs="宋体" w:hint="eastAsia"/>
          <w:sz w:val="28"/>
          <w:szCs w:val="28"/>
        </w:rPr>
        <w:t>四、评审程序</w:t>
      </w:r>
    </w:p>
    <w:p w14:paraId="22513C44"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1．各省(区、市）和新疆生产建设兵团的组织协调委员会要按照《“挑战杯”全国大学生课外学术科技作品竞赛资格及形式审查实施细则》的规定，对报送的作品进行严格的资格和形式审查，省级评审委员会对报送作品进行认真的初评。</w:t>
      </w:r>
    </w:p>
    <w:p w14:paraId="2181B2A7" w14:textId="77777777" w:rsidR="00913682" w:rsidRDefault="00913682" w:rsidP="00913682">
      <w:pPr>
        <w:spacing w:line="360" w:lineRule="auto"/>
        <w:ind w:firstLineChars="200" w:firstLine="480"/>
        <w:rPr>
          <w:rFonts w:ascii="宋体" w:hAnsi="宋体" w:cs="宋体" w:hint="eastAsia"/>
          <w:sz w:val="24"/>
        </w:rPr>
      </w:pPr>
      <w:r>
        <w:rPr>
          <w:rFonts w:ascii="宋体" w:hAnsi="宋体" w:cs="宋体" w:hint="eastAsia"/>
          <w:sz w:val="24"/>
        </w:rPr>
        <w:t>2．全国组织委员会秘书处对各省（区、市）和新疆生产建设兵团组织协调委员会报送和发起高校直送的参赛作品进行资格及形式审查，不合格的作品取消参赛资格。</w:t>
      </w:r>
    </w:p>
    <w:p w14:paraId="07AF821E" w14:textId="77777777" w:rsidR="00913682" w:rsidRDefault="00913682" w:rsidP="00913682">
      <w:pPr>
        <w:spacing w:line="360" w:lineRule="auto"/>
        <w:ind w:firstLineChars="200" w:firstLine="480"/>
        <w:rPr>
          <w:rFonts w:ascii="宋体" w:hAnsi="宋体" w:cs="宋体"/>
          <w:sz w:val="28"/>
          <w:szCs w:val="28"/>
        </w:rPr>
      </w:pPr>
      <w:r>
        <w:rPr>
          <w:rFonts w:ascii="宋体" w:hAnsi="宋体" w:cs="宋体" w:hint="eastAsia"/>
          <w:sz w:val="24"/>
        </w:rPr>
        <w:t>3.自然科学类学术论文和科技发明制作类的作品在承办单位所在地进行预审﹐预审要提出是否进入终审和获奖等级初步意见,哲学社会科学类社会调查报告和学术论文在全国评审委员会</w:t>
      </w:r>
      <w:r>
        <w:rPr>
          <w:rFonts w:ascii="宋体" w:hAnsi="宋体" w:cs="宋体"/>
          <w:sz w:val="24"/>
        </w:rPr>
        <w:t>负责哲学社会科学类作品评审工作的常务副主</w:t>
      </w:r>
      <w:r>
        <w:rPr>
          <w:rFonts w:ascii="宋体" w:hAnsi="宋体" w:cs="宋体"/>
          <w:sz w:val="24"/>
        </w:rPr>
        <w:lastRenderedPageBreak/>
        <w:t>任的主持下先期进行评审，选出一定比例作品赴承办单位所在地进行展示。</w:t>
      </w:r>
      <w:r>
        <w:rPr>
          <w:rFonts w:ascii="宋体" w:hAnsi="宋体" w:cs="宋体"/>
          <w:sz w:val="24"/>
        </w:rPr>
        <w:br/>
      </w:r>
      <w:r>
        <w:rPr>
          <w:rFonts w:ascii="宋体" w:hAnsi="宋体" w:cs="宋体" w:hint="eastAsia"/>
          <w:sz w:val="24"/>
        </w:rPr>
        <w:t xml:space="preserve">    </w:t>
      </w:r>
      <w:r>
        <w:rPr>
          <w:rFonts w:ascii="宋体" w:hAnsi="宋体" w:cs="宋体"/>
          <w:sz w:val="24"/>
        </w:rPr>
        <w:t>4.终审决赛期间，评委在组委会安排的专门时间集体到展厅审看发明制作类作品的实物。</w:t>
      </w:r>
      <w:r>
        <w:rPr>
          <w:rFonts w:ascii="宋体" w:hAnsi="宋体" w:cs="宋体"/>
          <w:sz w:val="24"/>
        </w:rPr>
        <w:br/>
      </w:r>
      <w:r>
        <w:rPr>
          <w:rFonts w:ascii="宋体" w:hAnsi="宋体" w:cs="宋体" w:hint="eastAsia"/>
          <w:sz w:val="24"/>
        </w:rPr>
        <w:t xml:space="preserve">    </w:t>
      </w:r>
      <w:r>
        <w:rPr>
          <w:rFonts w:ascii="宋体" w:hAnsi="宋体" w:cs="宋体"/>
          <w:sz w:val="24"/>
        </w:rPr>
        <w:t>5.终审决赛一律实行公开答辩制。</w:t>
      </w:r>
      <w:r>
        <w:rPr>
          <w:rFonts w:ascii="宋体" w:hAnsi="宋体" w:cs="宋体"/>
          <w:sz w:val="24"/>
        </w:rPr>
        <w:br/>
      </w:r>
      <w:r>
        <w:rPr>
          <w:rFonts w:ascii="宋体" w:hAnsi="宋体" w:cs="宋体" w:hint="eastAsia"/>
          <w:sz w:val="24"/>
        </w:rPr>
        <w:t xml:space="preserve">    </w:t>
      </w:r>
      <w:r>
        <w:rPr>
          <w:rFonts w:ascii="宋体" w:hAnsi="宋体" w:cs="宋体"/>
          <w:sz w:val="24"/>
        </w:rPr>
        <w:t>6.评委可以对所评审的作品的资格提出质疑，并提出质疑理由、证据或线索。受到评委质疑的作品，将提交竞赛作品资格评判委员会按程序评定其参赛资格。</w:t>
      </w:r>
      <w:r>
        <w:rPr>
          <w:rFonts w:ascii="宋体" w:hAnsi="宋体" w:cs="宋体"/>
          <w:sz w:val="24"/>
        </w:rPr>
        <w:br/>
      </w:r>
      <w:r>
        <w:rPr>
          <w:rFonts w:ascii="宋体" w:hAnsi="宋体" w:cs="宋体" w:hint="eastAsia"/>
          <w:sz w:val="24"/>
        </w:rPr>
        <w:t xml:space="preserve">    </w:t>
      </w:r>
      <w:r>
        <w:rPr>
          <w:rFonts w:ascii="宋体" w:hAnsi="宋体" w:cs="宋体"/>
          <w:sz w:val="24"/>
        </w:rPr>
        <w:t>7.评委会应于终审开始时在主任的主持下召开评委会全体会议，听取组委会对竞赛活动情况的通报。</w:t>
      </w:r>
      <w:r>
        <w:rPr>
          <w:rFonts w:ascii="宋体" w:hAnsi="宋体" w:cs="宋体"/>
          <w:sz w:val="24"/>
        </w:rPr>
        <w:br/>
      </w:r>
      <w:r>
        <w:rPr>
          <w:rFonts w:ascii="宋体" w:hAnsi="宋体" w:cs="宋体" w:hint="eastAsia"/>
          <w:sz w:val="24"/>
        </w:rPr>
        <w:t xml:space="preserve">  </w:t>
      </w:r>
      <w:r>
        <w:rPr>
          <w:rFonts w:ascii="宋体" w:hAnsi="宋体" w:cs="宋体" w:hint="eastAsia"/>
          <w:sz w:val="28"/>
          <w:szCs w:val="28"/>
        </w:rPr>
        <w:t xml:space="preserve">  </w:t>
      </w:r>
      <w:r>
        <w:rPr>
          <w:rFonts w:ascii="宋体" w:hAnsi="宋体" w:cs="宋体"/>
          <w:sz w:val="28"/>
          <w:szCs w:val="28"/>
        </w:rPr>
        <w:t>五、各省（区、市）和新疆生产建设兵团初评工作，由该省份评审委员会参照上述规则主持。</w:t>
      </w:r>
      <w:r>
        <w:rPr>
          <w:rFonts w:ascii="宋体" w:hAnsi="宋体" w:cs="宋体"/>
          <w:sz w:val="28"/>
          <w:szCs w:val="28"/>
        </w:rPr>
        <w:br/>
      </w:r>
      <w:r>
        <w:rPr>
          <w:rFonts w:ascii="宋体" w:hAnsi="宋体" w:cs="宋体" w:hint="eastAsia"/>
          <w:sz w:val="28"/>
          <w:szCs w:val="28"/>
        </w:rPr>
        <w:t xml:space="preserve">    </w:t>
      </w:r>
      <w:r>
        <w:rPr>
          <w:rFonts w:ascii="宋体" w:hAnsi="宋体" w:cs="宋体"/>
          <w:sz w:val="28"/>
          <w:szCs w:val="28"/>
        </w:rPr>
        <w:t>六、本规则由竞赛主办单位负责解释，并由主办单位根据全国组委会的意见修改。</w:t>
      </w:r>
    </w:p>
    <w:p w14:paraId="0DD5AC50" w14:textId="77777777" w:rsidR="00891732" w:rsidRPr="00913682" w:rsidRDefault="00891732"/>
    <w:sectPr w:rsidR="00891732" w:rsidRPr="009136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94"/>
    <w:rsid w:val="00061D17"/>
    <w:rsid w:val="00093FD1"/>
    <w:rsid w:val="000A2AEE"/>
    <w:rsid w:val="000B45A6"/>
    <w:rsid w:val="000F1039"/>
    <w:rsid w:val="00136E68"/>
    <w:rsid w:val="00152C9F"/>
    <w:rsid w:val="0019101B"/>
    <w:rsid w:val="001A707A"/>
    <w:rsid w:val="00217963"/>
    <w:rsid w:val="00227114"/>
    <w:rsid w:val="002370ED"/>
    <w:rsid w:val="002707C1"/>
    <w:rsid w:val="00282A15"/>
    <w:rsid w:val="002929A1"/>
    <w:rsid w:val="002A3EC6"/>
    <w:rsid w:val="002E0507"/>
    <w:rsid w:val="002E3560"/>
    <w:rsid w:val="00327A82"/>
    <w:rsid w:val="00346C44"/>
    <w:rsid w:val="003672C0"/>
    <w:rsid w:val="00382AF6"/>
    <w:rsid w:val="003975A7"/>
    <w:rsid w:val="003B0C6A"/>
    <w:rsid w:val="003C6CE4"/>
    <w:rsid w:val="003F1194"/>
    <w:rsid w:val="00476D95"/>
    <w:rsid w:val="0048262F"/>
    <w:rsid w:val="00486E69"/>
    <w:rsid w:val="004A5854"/>
    <w:rsid w:val="004A7A56"/>
    <w:rsid w:val="004B07CE"/>
    <w:rsid w:val="004C7C40"/>
    <w:rsid w:val="004E5A40"/>
    <w:rsid w:val="00531E47"/>
    <w:rsid w:val="00533081"/>
    <w:rsid w:val="005341A1"/>
    <w:rsid w:val="005E33CB"/>
    <w:rsid w:val="005E3E2C"/>
    <w:rsid w:val="005F232C"/>
    <w:rsid w:val="00690E2D"/>
    <w:rsid w:val="006A61D0"/>
    <w:rsid w:val="006B2BA6"/>
    <w:rsid w:val="006D5057"/>
    <w:rsid w:val="006F4DD7"/>
    <w:rsid w:val="00724F95"/>
    <w:rsid w:val="00744B4A"/>
    <w:rsid w:val="007631CE"/>
    <w:rsid w:val="00773429"/>
    <w:rsid w:val="007940AF"/>
    <w:rsid w:val="00796C75"/>
    <w:rsid w:val="00797FFA"/>
    <w:rsid w:val="007C49D5"/>
    <w:rsid w:val="008060E3"/>
    <w:rsid w:val="00850ADB"/>
    <w:rsid w:val="0085301F"/>
    <w:rsid w:val="00891732"/>
    <w:rsid w:val="008A0DFD"/>
    <w:rsid w:val="008C4B11"/>
    <w:rsid w:val="008C61F6"/>
    <w:rsid w:val="00913682"/>
    <w:rsid w:val="0092386D"/>
    <w:rsid w:val="00955DCC"/>
    <w:rsid w:val="009967D5"/>
    <w:rsid w:val="009A3659"/>
    <w:rsid w:val="009B7859"/>
    <w:rsid w:val="009C4A91"/>
    <w:rsid w:val="009D7F2E"/>
    <w:rsid w:val="009E3F45"/>
    <w:rsid w:val="00A246FB"/>
    <w:rsid w:val="00A64774"/>
    <w:rsid w:val="00A95C81"/>
    <w:rsid w:val="00B267FA"/>
    <w:rsid w:val="00B47350"/>
    <w:rsid w:val="00B7179A"/>
    <w:rsid w:val="00B866C9"/>
    <w:rsid w:val="00B965AF"/>
    <w:rsid w:val="00BD10D7"/>
    <w:rsid w:val="00BE2E59"/>
    <w:rsid w:val="00C12898"/>
    <w:rsid w:val="00C80BFE"/>
    <w:rsid w:val="00C81323"/>
    <w:rsid w:val="00C87A78"/>
    <w:rsid w:val="00CC0D2A"/>
    <w:rsid w:val="00CD64A6"/>
    <w:rsid w:val="00CE0048"/>
    <w:rsid w:val="00CE0A39"/>
    <w:rsid w:val="00CF7F80"/>
    <w:rsid w:val="00D26027"/>
    <w:rsid w:val="00D474BB"/>
    <w:rsid w:val="00D4776A"/>
    <w:rsid w:val="00D5396C"/>
    <w:rsid w:val="00D856AE"/>
    <w:rsid w:val="00DA09E8"/>
    <w:rsid w:val="00DB0EF4"/>
    <w:rsid w:val="00DB63A4"/>
    <w:rsid w:val="00E70EFE"/>
    <w:rsid w:val="00E7124A"/>
    <w:rsid w:val="00E75AF9"/>
    <w:rsid w:val="00E76F68"/>
    <w:rsid w:val="00E827CE"/>
    <w:rsid w:val="00EA7EA0"/>
    <w:rsid w:val="00EC2BE9"/>
    <w:rsid w:val="00EE7150"/>
    <w:rsid w:val="00EE7913"/>
    <w:rsid w:val="00F254B7"/>
    <w:rsid w:val="00F76B1D"/>
    <w:rsid w:val="00FB5602"/>
    <w:rsid w:val="00FF3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EE5F10-A101-43C3-B2C1-8E111A37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36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 硕</dc:creator>
  <cp:keywords/>
  <dc:description/>
  <cp:lastModifiedBy>朱 硕</cp:lastModifiedBy>
  <cp:revision>2</cp:revision>
  <dcterms:created xsi:type="dcterms:W3CDTF">2021-03-26T10:41:00Z</dcterms:created>
  <dcterms:modified xsi:type="dcterms:W3CDTF">2021-03-26T10:41:00Z</dcterms:modified>
</cp:coreProperties>
</file>